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883" w:rsidRPr="00E22626" w:rsidRDefault="00CE3883" w:rsidP="00736D38">
      <w:pPr>
        <w:spacing w:after="0" w:line="276" w:lineRule="auto"/>
        <w:jc w:val="center"/>
        <w:rPr>
          <w:b/>
          <w:sz w:val="28"/>
          <w:szCs w:val="28"/>
          <w:u w:val="single"/>
        </w:rPr>
      </w:pPr>
      <w:r w:rsidRPr="00E22626">
        <w:rPr>
          <w:b/>
          <w:sz w:val="28"/>
          <w:szCs w:val="28"/>
          <w:u w:val="single"/>
        </w:rPr>
        <w:t>RESEARCH TRANSLATION REQUIREMENTS FOR NON-ENGLISH SPEAKERS</w:t>
      </w:r>
    </w:p>
    <w:p w:rsidR="00DC5149" w:rsidRDefault="00CE3883" w:rsidP="00736D38">
      <w:pPr>
        <w:spacing w:after="0" w:line="276" w:lineRule="auto"/>
        <w:jc w:val="center"/>
        <w:rPr>
          <w:b/>
          <w:sz w:val="28"/>
          <w:szCs w:val="28"/>
          <w:u w:val="single"/>
        </w:rPr>
      </w:pPr>
      <w:r w:rsidRPr="00E22626">
        <w:rPr>
          <w:b/>
          <w:sz w:val="28"/>
          <w:szCs w:val="28"/>
          <w:u w:val="single"/>
        </w:rPr>
        <w:t>GUIDANCE DOCUMENT</w:t>
      </w:r>
    </w:p>
    <w:p w:rsidR="00736D38" w:rsidRDefault="00736D38" w:rsidP="00736D38">
      <w:pPr>
        <w:spacing w:after="0" w:line="276" w:lineRule="auto"/>
        <w:jc w:val="center"/>
        <w:rPr>
          <w:b/>
          <w:sz w:val="28"/>
          <w:szCs w:val="28"/>
        </w:rPr>
      </w:pPr>
    </w:p>
    <w:p w:rsidR="00F65294" w:rsidRPr="00E22626" w:rsidRDefault="00F65294" w:rsidP="00DC5149">
      <w:pPr>
        <w:rPr>
          <w:b/>
          <w:sz w:val="28"/>
          <w:szCs w:val="28"/>
        </w:rPr>
      </w:pPr>
      <w:r w:rsidRPr="00E22626">
        <w:rPr>
          <w:b/>
          <w:sz w:val="28"/>
          <w:szCs w:val="28"/>
        </w:rPr>
        <w:t>OVERVIEW</w:t>
      </w:r>
    </w:p>
    <w:p w:rsidR="00CD1793" w:rsidRDefault="00CE3883" w:rsidP="00CE3883">
      <w:pPr>
        <w:rPr>
          <w:sz w:val="24"/>
          <w:szCs w:val="24"/>
        </w:rPr>
      </w:pPr>
      <w:r>
        <w:rPr>
          <w:sz w:val="24"/>
          <w:szCs w:val="24"/>
        </w:rPr>
        <w:t xml:space="preserve">All research participants (or their Legally Authorized Representative [LAR]) if they are unable to consent for themselves) must be able to understand enough about a research study and the elements of consent in order to be able to make an informed decision regarding participation.  </w:t>
      </w:r>
      <w:r w:rsidR="002F2747">
        <w:rPr>
          <w:sz w:val="24"/>
          <w:szCs w:val="24"/>
        </w:rPr>
        <w:t xml:space="preserve">This means the consent and study materials must be presented in a language the potential participant or LAR can understand.  </w:t>
      </w:r>
    </w:p>
    <w:p w:rsidR="00CD1793" w:rsidRDefault="002F2747" w:rsidP="00CE3883">
      <w:pPr>
        <w:rPr>
          <w:sz w:val="24"/>
          <w:szCs w:val="24"/>
        </w:rPr>
      </w:pPr>
      <w:r>
        <w:rPr>
          <w:sz w:val="24"/>
          <w:szCs w:val="24"/>
        </w:rPr>
        <w:t xml:space="preserve">Non-English speaking subjects are those whose primary language is not English </w:t>
      </w:r>
      <w:r w:rsidR="0065667C">
        <w:rPr>
          <w:sz w:val="24"/>
          <w:szCs w:val="24"/>
        </w:rPr>
        <w:t>and</w:t>
      </w:r>
      <w:r>
        <w:rPr>
          <w:sz w:val="24"/>
          <w:szCs w:val="24"/>
        </w:rPr>
        <w:t xml:space="preserve"> </w:t>
      </w:r>
      <w:r w:rsidR="00C02A10">
        <w:rPr>
          <w:sz w:val="24"/>
          <w:szCs w:val="24"/>
        </w:rPr>
        <w:t>w</w:t>
      </w:r>
      <w:r>
        <w:rPr>
          <w:sz w:val="24"/>
          <w:szCs w:val="24"/>
        </w:rPr>
        <w:t xml:space="preserve">ith the limited ability to read, write, speak or understand English.  </w:t>
      </w:r>
    </w:p>
    <w:p w:rsidR="00CD1793" w:rsidRDefault="00830BC1" w:rsidP="00CE3883">
      <w:pPr>
        <w:rPr>
          <w:sz w:val="24"/>
          <w:szCs w:val="24"/>
        </w:rPr>
      </w:pPr>
      <w:r>
        <w:rPr>
          <w:sz w:val="24"/>
          <w:szCs w:val="24"/>
        </w:rPr>
        <w:t>When enrolling non-English speaking subjects, investigators must</w:t>
      </w:r>
      <w:r w:rsidR="006973B9">
        <w:rPr>
          <w:sz w:val="24"/>
          <w:szCs w:val="24"/>
        </w:rPr>
        <w:t>:</w:t>
      </w:r>
      <w:r>
        <w:rPr>
          <w:sz w:val="24"/>
          <w:szCs w:val="24"/>
        </w:rPr>
        <w:t xml:space="preserve"> </w:t>
      </w:r>
    </w:p>
    <w:p w:rsidR="00CD1793" w:rsidRDefault="00830BC1" w:rsidP="006973B9">
      <w:pPr>
        <w:pStyle w:val="ListParagraph"/>
        <w:numPr>
          <w:ilvl w:val="0"/>
          <w:numId w:val="15"/>
        </w:numPr>
        <w:rPr>
          <w:sz w:val="24"/>
          <w:szCs w:val="24"/>
        </w:rPr>
      </w:pPr>
      <w:r w:rsidRPr="006973B9">
        <w:rPr>
          <w:sz w:val="24"/>
          <w:szCs w:val="24"/>
        </w:rPr>
        <w:t xml:space="preserve">have a plan to manage communications with the person during all phases of study participation.   </w:t>
      </w:r>
    </w:p>
    <w:p w:rsidR="00E623EE" w:rsidRPr="006973B9" w:rsidRDefault="00CD1793" w:rsidP="006973B9">
      <w:pPr>
        <w:pStyle w:val="ListParagraph"/>
        <w:numPr>
          <w:ilvl w:val="0"/>
          <w:numId w:val="15"/>
        </w:numPr>
        <w:rPr>
          <w:sz w:val="24"/>
          <w:szCs w:val="24"/>
        </w:rPr>
      </w:pPr>
      <w:r>
        <w:rPr>
          <w:sz w:val="24"/>
          <w:szCs w:val="24"/>
        </w:rPr>
        <w:t>t</w:t>
      </w:r>
      <w:r w:rsidR="00830BC1" w:rsidRPr="006973B9">
        <w:rPr>
          <w:sz w:val="24"/>
          <w:szCs w:val="24"/>
        </w:rPr>
        <w:t>h</w:t>
      </w:r>
      <w:r w:rsidR="00E623EE" w:rsidRPr="006973B9">
        <w:rPr>
          <w:sz w:val="24"/>
          <w:szCs w:val="24"/>
        </w:rPr>
        <w:t xml:space="preserve">e Investigator’s </w:t>
      </w:r>
      <w:r w:rsidR="00830BC1" w:rsidRPr="006973B9">
        <w:rPr>
          <w:sz w:val="24"/>
          <w:szCs w:val="24"/>
        </w:rPr>
        <w:t xml:space="preserve">plan </w:t>
      </w:r>
      <w:r w:rsidR="00E623EE" w:rsidRPr="006973B9">
        <w:rPr>
          <w:sz w:val="24"/>
          <w:szCs w:val="24"/>
        </w:rPr>
        <w:t xml:space="preserve">to manage non-English speaking participants in a study </w:t>
      </w:r>
      <w:r w:rsidR="00830BC1" w:rsidRPr="006973B9">
        <w:rPr>
          <w:sz w:val="24"/>
          <w:szCs w:val="24"/>
        </w:rPr>
        <w:t>must be described in the eProtocol application</w:t>
      </w:r>
      <w:r>
        <w:rPr>
          <w:sz w:val="24"/>
          <w:szCs w:val="24"/>
        </w:rPr>
        <w:t>.  This must include a plan for translation at study visits and/or follow-ups, etc</w:t>
      </w:r>
      <w:r w:rsidR="00830BC1" w:rsidRPr="006973B9">
        <w:rPr>
          <w:sz w:val="24"/>
          <w:szCs w:val="24"/>
        </w:rPr>
        <w:t>.</w:t>
      </w:r>
    </w:p>
    <w:p w:rsidR="00CE3883" w:rsidRDefault="00E623EE" w:rsidP="00CE3883">
      <w:pPr>
        <w:rPr>
          <w:sz w:val="24"/>
          <w:szCs w:val="24"/>
        </w:rPr>
      </w:pPr>
      <w:r>
        <w:rPr>
          <w:sz w:val="24"/>
          <w:szCs w:val="24"/>
        </w:rPr>
        <w:t>T</w:t>
      </w:r>
      <w:r w:rsidR="00CE3883">
        <w:rPr>
          <w:sz w:val="24"/>
          <w:szCs w:val="24"/>
        </w:rPr>
        <w:t>he requirements for consent and translation of documents will depend on whether or not it is known in advance that non-English speakers will be eligible for the study.</w:t>
      </w:r>
    </w:p>
    <w:p w:rsidR="00005E71" w:rsidRDefault="00005E71" w:rsidP="00CE3883">
      <w:pPr>
        <w:rPr>
          <w:sz w:val="24"/>
          <w:szCs w:val="24"/>
        </w:rPr>
      </w:pPr>
    </w:p>
    <w:p w:rsidR="00A41CC8" w:rsidRPr="00E22626" w:rsidRDefault="00A41CC8" w:rsidP="00CE3883">
      <w:pPr>
        <w:rPr>
          <w:b/>
          <w:sz w:val="28"/>
          <w:szCs w:val="28"/>
        </w:rPr>
      </w:pPr>
      <w:r w:rsidRPr="00E22626">
        <w:rPr>
          <w:b/>
          <w:sz w:val="28"/>
          <w:szCs w:val="28"/>
        </w:rPr>
        <w:t>DEFINITIONS</w:t>
      </w:r>
    </w:p>
    <w:p w:rsidR="00A41CC8" w:rsidRDefault="00BF74A6" w:rsidP="00CE3883">
      <w:pPr>
        <w:rPr>
          <w:sz w:val="24"/>
          <w:szCs w:val="24"/>
        </w:rPr>
      </w:pPr>
      <w:r>
        <w:rPr>
          <w:b/>
          <w:sz w:val="24"/>
          <w:szCs w:val="24"/>
        </w:rPr>
        <w:t xml:space="preserve">Non-English Speaking - </w:t>
      </w:r>
      <w:r>
        <w:rPr>
          <w:sz w:val="24"/>
          <w:szCs w:val="24"/>
        </w:rPr>
        <w:t xml:space="preserve">Non-English speaking subjects are those whose primary language is not English and with the limited ability to read, write, speak or understand English.  </w:t>
      </w:r>
    </w:p>
    <w:p w:rsidR="00BF74A6" w:rsidRDefault="00BF74A6" w:rsidP="00CE3883">
      <w:pPr>
        <w:rPr>
          <w:sz w:val="24"/>
          <w:szCs w:val="24"/>
        </w:rPr>
      </w:pPr>
      <w:r>
        <w:rPr>
          <w:b/>
          <w:sz w:val="24"/>
          <w:szCs w:val="24"/>
        </w:rPr>
        <w:t xml:space="preserve">Interpreter – </w:t>
      </w:r>
      <w:r>
        <w:rPr>
          <w:sz w:val="24"/>
          <w:szCs w:val="24"/>
        </w:rPr>
        <w:t>person who accompanies researchers to convey verbal information to another person in their native language.</w:t>
      </w:r>
    </w:p>
    <w:p w:rsidR="00E22626" w:rsidRDefault="00E22626" w:rsidP="00CE3883">
      <w:pPr>
        <w:rPr>
          <w:sz w:val="24"/>
          <w:szCs w:val="24"/>
        </w:rPr>
      </w:pPr>
      <w:r>
        <w:rPr>
          <w:b/>
          <w:sz w:val="24"/>
          <w:szCs w:val="24"/>
        </w:rPr>
        <w:t xml:space="preserve">Translator – </w:t>
      </w:r>
      <w:r>
        <w:rPr>
          <w:sz w:val="24"/>
          <w:szCs w:val="24"/>
        </w:rPr>
        <w:t>person who coverts written materials from English to another language.</w:t>
      </w:r>
    </w:p>
    <w:p w:rsidR="00BF74A6" w:rsidRDefault="00BF74A6" w:rsidP="00CE3883">
      <w:pPr>
        <w:rPr>
          <w:sz w:val="24"/>
          <w:szCs w:val="24"/>
        </w:rPr>
      </w:pPr>
      <w:r>
        <w:rPr>
          <w:b/>
          <w:sz w:val="24"/>
          <w:szCs w:val="24"/>
        </w:rPr>
        <w:t>Legally Authorized Representative</w:t>
      </w:r>
      <w:r w:rsidR="00562696">
        <w:rPr>
          <w:b/>
          <w:sz w:val="24"/>
          <w:szCs w:val="24"/>
        </w:rPr>
        <w:t xml:space="preserve"> (LAR)</w:t>
      </w:r>
      <w:r>
        <w:rPr>
          <w:b/>
          <w:sz w:val="24"/>
          <w:szCs w:val="24"/>
        </w:rPr>
        <w:t xml:space="preserve"> – </w:t>
      </w:r>
      <w:r>
        <w:rPr>
          <w:sz w:val="24"/>
          <w:szCs w:val="24"/>
        </w:rPr>
        <w:t>an individual</w:t>
      </w:r>
      <w:r w:rsidR="00FC20E5">
        <w:rPr>
          <w:sz w:val="24"/>
          <w:szCs w:val="24"/>
        </w:rPr>
        <w:t>/judicial/body</w:t>
      </w:r>
      <w:r>
        <w:rPr>
          <w:sz w:val="24"/>
          <w:szCs w:val="24"/>
        </w:rPr>
        <w:t xml:space="preserve"> or body authorized </w:t>
      </w:r>
      <w:r w:rsidR="00FC20E5">
        <w:rPr>
          <w:sz w:val="24"/>
          <w:szCs w:val="24"/>
        </w:rPr>
        <w:t xml:space="preserve">under applicable law to consent on behalf of prospective subject to the subject’s participation in the procedure (s) involved in the research. If there is no applicable law addressing this issue, legally authorized representative means an individual recognized by institutional policy as acceptable for providing consent in the non-research context on behalf of the prospective subject to the subject’s participation in the procedure (s) involved in the research.  </w:t>
      </w:r>
      <w:r>
        <w:rPr>
          <w:sz w:val="24"/>
          <w:szCs w:val="24"/>
        </w:rPr>
        <w:t xml:space="preserve"> </w:t>
      </w:r>
    </w:p>
    <w:p w:rsidR="00BF74A6" w:rsidRDefault="00BF74A6" w:rsidP="00CE3883">
      <w:pPr>
        <w:rPr>
          <w:sz w:val="24"/>
          <w:szCs w:val="24"/>
        </w:rPr>
      </w:pPr>
      <w:r>
        <w:rPr>
          <w:b/>
          <w:sz w:val="24"/>
          <w:szCs w:val="24"/>
        </w:rPr>
        <w:lastRenderedPageBreak/>
        <w:t>Short Form</w:t>
      </w:r>
      <w:r>
        <w:rPr>
          <w:sz w:val="24"/>
          <w:szCs w:val="24"/>
        </w:rPr>
        <w:t xml:space="preserve"> </w:t>
      </w:r>
      <w:r>
        <w:rPr>
          <w:b/>
          <w:sz w:val="24"/>
          <w:szCs w:val="24"/>
        </w:rPr>
        <w:t xml:space="preserve">- </w:t>
      </w:r>
      <w:r w:rsidRPr="00A41CC8">
        <w:rPr>
          <w:sz w:val="24"/>
          <w:szCs w:val="24"/>
        </w:rPr>
        <w:t xml:space="preserve">(a written document, in the participant’s native </w:t>
      </w:r>
      <w:r>
        <w:rPr>
          <w:sz w:val="24"/>
          <w:szCs w:val="24"/>
        </w:rPr>
        <w:t>l</w:t>
      </w:r>
      <w:r w:rsidRPr="00A41CC8">
        <w:rPr>
          <w:sz w:val="24"/>
          <w:szCs w:val="24"/>
        </w:rPr>
        <w:t xml:space="preserve">anguage, stating that the </w:t>
      </w:r>
      <w:r>
        <w:rPr>
          <w:sz w:val="24"/>
          <w:szCs w:val="24"/>
        </w:rPr>
        <w:t>e</w:t>
      </w:r>
      <w:r w:rsidRPr="00A41CC8">
        <w:rPr>
          <w:sz w:val="24"/>
          <w:szCs w:val="24"/>
        </w:rPr>
        <w:t>lements of informed consent required by 45 CFR 46.116 and/or 21 CFR 50.25 have been presented to and are understood by the subject or the subject’s LAR)</w:t>
      </w:r>
    </w:p>
    <w:p w:rsidR="00736D38" w:rsidRPr="00BF74A6" w:rsidRDefault="00736D38" w:rsidP="00CE3883">
      <w:pPr>
        <w:rPr>
          <w:b/>
          <w:sz w:val="24"/>
          <w:szCs w:val="24"/>
        </w:rPr>
      </w:pPr>
    </w:p>
    <w:p w:rsidR="00CE3883" w:rsidRPr="00B949DF" w:rsidRDefault="00CE3883" w:rsidP="00736D38">
      <w:pPr>
        <w:pStyle w:val="ListParagraph"/>
        <w:numPr>
          <w:ilvl w:val="0"/>
          <w:numId w:val="9"/>
        </w:numPr>
        <w:ind w:left="720"/>
        <w:rPr>
          <w:b/>
          <w:sz w:val="28"/>
          <w:szCs w:val="28"/>
        </w:rPr>
      </w:pPr>
      <w:r w:rsidRPr="00B949DF">
        <w:rPr>
          <w:b/>
          <w:sz w:val="28"/>
          <w:szCs w:val="28"/>
        </w:rPr>
        <w:t>Non-English Speakers – Known in Advance</w:t>
      </w:r>
      <w:r w:rsidR="00357A06" w:rsidRPr="00B949DF">
        <w:rPr>
          <w:b/>
          <w:sz w:val="28"/>
          <w:szCs w:val="28"/>
        </w:rPr>
        <w:t xml:space="preserve"> (Expected Enrollment)</w:t>
      </w:r>
    </w:p>
    <w:p w:rsidR="001410E6" w:rsidRDefault="00744F85" w:rsidP="001410E6">
      <w:pPr>
        <w:rPr>
          <w:sz w:val="24"/>
          <w:szCs w:val="24"/>
        </w:rPr>
      </w:pPr>
      <w:r>
        <w:rPr>
          <w:sz w:val="24"/>
          <w:szCs w:val="24"/>
        </w:rPr>
        <w:tab/>
      </w:r>
      <w:r w:rsidR="00E623EE">
        <w:rPr>
          <w:sz w:val="24"/>
          <w:szCs w:val="24"/>
        </w:rPr>
        <w:t>When it is known</w:t>
      </w:r>
      <w:r w:rsidR="00CE3883">
        <w:rPr>
          <w:sz w:val="24"/>
          <w:szCs w:val="24"/>
        </w:rPr>
        <w:t xml:space="preserve">, or is likely, that </w:t>
      </w:r>
      <w:r w:rsidR="00E623EE">
        <w:rPr>
          <w:sz w:val="24"/>
          <w:szCs w:val="24"/>
        </w:rPr>
        <w:t xml:space="preserve">non-English speaking participants will be </w:t>
      </w:r>
      <w:r w:rsidR="00CE3883">
        <w:rPr>
          <w:sz w:val="24"/>
          <w:szCs w:val="24"/>
        </w:rPr>
        <w:t xml:space="preserve">eligible </w:t>
      </w:r>
      <w:r w:rsidR="00E623EE">
        <w:rPr>
          <w:sz w:val="24"/>
          <w:szCs w:val="24"/>
        </w:rPr>
        <w:t xml:space="preserve">for </w:t>
      </w:r>
      <w:r w:rsidR="00E623EE">
        <w:rPr>
          <w:sz w:val="24"/>
          <w:szCs w:val="24"/>
        </w:rPr>
        <w:tab/>
        <w:t>enrollment, t</w:t>
      </w:r>
      <w:r w:rsidR="00CE3883">
        <w:rPr>
          <w:sz w:val="24"/>
          <w:szCs w:val="24"/>
        </w:rPr>
        <w:t xml:space="preserve">hen </w:t>
      </w:r>
      <w:r w:rsidR="00E623EE">
        <w:rPr>
          <w:sz w:val="24"/>
          <w:szCs w:val="24"/>
        </w:rPr>
        <w:t xml:space="preserve">an </w:t>
      </w:r>
      <w:r w:rsidR="00CE3883">
        <w:rPr>
          <w:sz w:val="24"/>
          <w:szCs w:val="24"/>
        </w:rPr>
        <w:t xml:space="preserve">IRB approved translation of the consent </w:t>
      </w:r>
      <w:r w:rsidR="00357A06">
        <w:rPr>
          <w:sz w:val="24"/>
          <w:szCs w:val="24"/>
        </w:rPr>
        <w:t xml:space="preserve">(containing all of the </w:t>
      </w:r>
      <w:r w:rsidR="00E623EE">
        <w:rPr>
          <w:sz w:val="24"/>
          <w:szCs w:val="24"/>
        </w:rPr>
        <w:tab/>
      </w:r>
      <w:r w:rsidR="00357A06">
        <w:rPr>
          <w:sz w:val="24"/>
          <w:szCs w:val="24"/>
        </w:rPr>
        <w:t>elements of informed consent)</w:t>
      </w:r>
      <w:r w:rsidR="00A846CE">
        <w:rPr>
          <w:sz w:val="24"/>
          <w:szCs w:val="24"/>
        </w:rPr>
        <w:t xml:space="preserve">, HIPAA document, </w:t>
      </w:r>
      <w:r w:rsidR="00CE3883">
        <w:rPr>
          <w:sz w:val="24"/>
          <w:szCs w:val="24"/>
        </w:rPr>
        <w:t xml:space="preserve">and other study </w:t>
      </w:r>
      <w:r w:rsidR="002E4928">
        <w:rPr>
          <w:sz w:val="24"/>
          <w:szCs w:val="24"/>
        </w:rPr>
        <w:t xml:space="preserve">related </w:t>
      </w:r>
      <w:r w:rsidR="00CE3883">
        <w:rPr>
          <w:sz w:val="24"/>
          <w:szCs w:val="24"/>
        </w:rPr>
        <w:t xml:space="preserve">documents is </w:t>
      </w:r>
      <w:r w:rsidR="00A846CE">
        <w:rPr>
          <w:sz w:val="24"/>
          <w:szCs w:val="24"/>
        </w:rPr>
        <w:tab/>
      </w:r>
      <w:r w:rsidR="00CE3883">
        <w:rPr>
          <w:sz w:val="24"/>
          <w:szCs w:val="24"/>
        </w:rPr>
        <w:t>require</w:t>
      </w:r>
      <w:r w:rsidR="00357A06">
        <w:rPr>
          <w:sz w:val="24"/>
          <w:szCs w:val="24"/>
        </w:rPr>
        <w:t>d</w:t>
      </w:r>
      <w:r w:rsidR="00CE3883">
        <w:rPr>
          <w:sz w:val="24"/>
          <w:szCs w:val="24"/>
        </w:rPr>
        <w:t xml:space="preserve"> </w:t>
      </w:r>
      <w:r w:rsidR="00CE3883">
        <w:rPr>
          <w:b/>
          <w:i/>
          <w:sz w:val="24"/>
          <w:szCs w:val="24"/>
        </w:rPr>
        <w:t>prior</w:t>
      </w:r>
      <w:r w:rsidR="00CE3883">
        <w:rPr>
          <w:sz w:val="24"/>
          <w:szCs w:val="24"/>
        </w:rPr>
        <w:t xml:space="preserve"> to recruitment of non-English speakers.</w:t>
      </w:r>
      <w:r w:rsidR="00357A06">
        <w:rPr>
          <w:sz w:val="24"/>
          <w:szCs w:val="24"/>
        </w:rPr>
        <w:t xml:space="preserve">  </w:t>
      </w:r>
    </w:p>
    <w:p w:rsidR="00357A06" w:rsidRPr="001410E6" w:rsidRDefault="00480914" w:rsidP="001410E6">
      <w:pPr>
        <w:rPr>
          <w:sz w:val="24"/>
          <w:szCs w:val="24"/>
        </w:rPr>
      </w:pPr>
      <w:r>
        <w:rPr>
          <w:b/>
          <w:sz w:val="28"/>
          <w:szCs w:val="28"/>
        </w:rPr>
        <w:tab/>
        <w:t>Submission P</w:t>
      </w:r>
      <w:r w:rsidR="00744F85" w:rsidRPr="001B19E0">
        <w:rPr>
          <w:b/>
          <w:sz w:val="28"/>
          <w:szCs w:val="28"/>
        </w:rPr>
        <w:t>rocess for Non-English Speakers Known in Advance</w:t>
      </w:r>
    </w:p>
    <w:p w:rsidR="00830BC1" w:rsidRDefault="0070061B" w:rsidP="00744F85">
      <w:pPr>
        <w:pStyle w:val="ListParagraph"/>
        <w:numPr>
          <w:ilvl w:val="0"/>
          <w:numId w:val="7"/>
        </w:numPr>
        <w:rPr>
          <w:sz w:val="24"/>
          <w:szCs w:val="24"/>
        </w:rPr>
      </w:pPr>
      <w:r>
        <w:rPr>
          <w:sz w:val="24"/>
          <w:szCs w:val="24"/>
        </w:rPr>
        <w:t>Submi</w:t>
      </w:r>
      <w:r w:rsidR="00830BC1">
        <w:rPr>
          <w:sz w:val="24"/>
          <w:szCs w:val="24"/>
        </w:rPr>
        <w:t>t</w:t>
      </w:r>
      <w:r>
        <w:rPr>
          <w:sz w:val="24"/>
          <w:szCs w:val="24"/>
        </w:rPr>
        <w:t xml:space="preserve"> </w:t>
      </w:r>
      <w:r w:rsidR="00830BC1">
        <w:rPr>
          <w:sz w:val="24"/>
          <w:szCs w:val="24"/>
        </w:rPr>
        <w:t xml:space="preserve">the </w:t>
      </w:r>
      <w:r>
        <w:rPr>
          <w:sz w:val="24"/>
          <w:szCs w:val="24"/>
        </w:rPr>
        <w:t>ICF</w:t>
      </w:r>
      <w:r w:rsidR="002E4928">
        <w:rPr>
          <w:sz w:val="24"/>
          <w:szCs w:val="24"/>
        </w:rPr>
        <w:t>, HIPAA document,</w:t>
      </w:r>
      <w:r>
        <w:rPr>
          <w:sz w:val="24"/>
          <w:szCs w:val="24"/>
        </w:rPr>
        <w:t xml:space="preserve"> and all other study related document</w:t>
      </w:r>
      <w:r w:rsidR="00962F25">
        <w:rPr>
          <w:sz w:val="24"/>
          <w:szCs w:val="24"/>
        </w:rPr>
        <w:t>s</w:t>
      </w:r>
      <w:r>
        <w:rPr>
          <w:sz w:val="24"/>
          <w:szCs w:val="24"/>
        </w:rPr>
        <w:t xml:space="preserve"> in English</w:t>
      </w:r>
      <w:r w:rsidR="00830BC1">
        <w:rPr>
          <w:sz w:val="24"/>
          <w:szCs w:val="24"/>
        </w:rPr>
        <w:t xml:space="preserve"> to the IRB</w:t>
      </w:r>
      <w:r w:rsidR="00A846CE">
        <w:rPr>
          <w:sz w:val="24"/>
          <w:szCs w:val="24"/>
        </w:rPr>
        <w:t>.</w:t>
      </w:r>
    </w:p>
    <w:p w:rsidR="00744F85" w:rsidRDefault="00830BC1" w:rsidP="004473DF">
      <w:pPr>
        <w:pStyle w:val="ListParagraph"/>
        <w:numPr>
          <w:ilvl w:val="0"/>
          <w:numId w:val="7"/>
        </w:numPr>
        <w:rPr>
          <w:sz w:val="24"/>
          <w:szCs w:val="24"/>
        </w:rPr>
      </w:pPr>
      <w:r>
        <w:rPr>
          <w:sz w:val="24"/>
          <w:szCs w:val="24"/>
        </w:rPr>
        <w:t xml:space="preserve">Once IRB approval is obtained, submit the documents to the </w:t>
      </w:r>
      <w:r w:rsidR="00261AAE">
        <w:rPr>
          <w:sz w:val="24"/>
          <w:szCs w:val="24"/>
        </w:rPr>
        <w:t>translator</w:t>
      </w:r>
      <w:r w:rsidR="00A846CE">
        <w:rPr>
          <w:sz w:val="24"/>
          <w:szCs w:val="24"/>
        </w:rPr>
        <w:t>.</w:t>
      </w:r>
      <w:r w:rsidR="00744F85">
        <w:rPr>
          <w:sz w:val="24"/>
          <w:szCs w:val="24"/>
        </w:rPr>
        <w:t xml:space="preserve"> </w:t>
      </w:r>
    </w:p>
    <w:p w:rsidR="00554A1C" w:rsidRDefault="00744F85" w:rsidP="00D007C5">
      <w:pPr>
        <w:pStyle w:val="ListParagraph"/>
        <w:numPr>
          <w:ilvl w:val="0"/>
          <w:numId w:val="7"/>
        </w:numPr>
        <w:rPr>
          <w:sz w:val="24"/>
          <w:szCs w:val="24"/>
        </w:rPr>
      </w:pPr>
      <w:r w:rsidRPr="00744F85">
        <w:rPr>
          <w:sz w:val="24"/>
          <w:szCs w:val="24"/>
        </w:rPr>
        <w:t xml:space="preserve">Submit a modification to the IRB for approval of the </w:t>
      </w:r>
      <w:r w:rsidR="00261AAE">
        <w:rPr>
          <w:sz w:val="24"/>
          <w:szCs w:val="24"/>
        </w:rPr>
        <w:t>t</w:t>
      </w:r>
      <w:r w:rsidRPr="00744F85">
        <w:rPr>
          <w:sz w:val="24"/>
          <w:szCs w:val="24"/>
        </w:rPr>
        <w:t>ranslated version of relevant documents</w:t>
      </w:r>
      <w:r w:rsidR="00E51F65">
        <w:rPr>
          <w:sz w:val="24"/>
          <w:szCs w:val="24"/>
        </w:rPr>
        <w:t xml:space="preserve"> (with</w:t>
      </w:r>
      <w:r w:rsidRPr="00744F85">
        <w:rPr>
          <w:sz w:val="24"/>
          <w:szCs w:val="24"/>
        </w:rPr>
        <w:t xml:space="preserve"> certification of translation</w:t>
      </w:r>
      <w:r w:rsidR="00E51F65">
        <w:rPr>
          <w:sz w:val="24"/>
          <w:szCs w:val="24"/>
        </w:rPr>
        <w:t>)</w:t>
      </w:r>
      <w:r w:rsidR="00A41CC8">
        <w:rPr>
          <w:sz w:val="24"/>
          <w:szCs w:val="24"/>
        </w:rPr>
        <w:t xml:space="preserve">.  </w:t>
      </w:r>
    </w:p>
    <w:p w:rsidR="00B949DF" w:rsidRDefault="00A41CC8" w:rsidP="00D007C5">
      <w:pPr>
        <w:pStyle w:val="ListParagraph"/>
        <w:numPr>
          <w:ilvl w:val="0"/>
          <w:numId w:val="7"/>
        </w:numPr>
        <w:rPr>
          <w:sz w:val="24"/>
          <w:szCs w:val="24"/>
        </w:rPr>
      </w:pPr>
      <w:r>
        <w:rPr>
          <w:sz w:val="24"/>
          <w:szCs w:val="24"/>
        </w:rPr>
        <w:t xml:space="preserve">In the eProtocol application, </w:t>
      </w:r>
      <w:r w:rsidR="00005E71">
        <w:rPr>
          <w:sz w:val="24"/>
          <w:szCs w:val="24"/>
        </w:rPr>
        <w:t xml:space="preserve">the Investigator must </w:t>
      </w:r>
      <w:r>
        <w:rPr>
          <w:sz w:val="24"/>
          <w:szCs w:val="24"/>
        </w:rPr>
        <w:t>describe the plan to manage non-English speaking participants throughout the course of the study</w:t>
      </w:r>
      <w:r w:rsidR="00554A1C">
        <w:rPr>
          <w:sz w:val="24"/>
          <w:szCs w:val="24"/>
        </w:rPr>
        <w:t>, including the qualifications of the interpreter</w:t>
      </w:r>
      <w:r>
        <w:rPr>
          <w:sz w:val="24"/>
          <w:szCs w:val="24"/>
        </w:rPr>
        <w:t xml:space="preserve">.  </w:t>
      </w:r>
    </w:p>
    <w:p w:rsidR="00744F85" w:rsidRPr="00744F85" w:rsidRDefault="00744F85" w:rsidP="00744F85">
      <w:pPr>
        <w:pStyle w:val="ListParagraph"/>
        <w:ind w:left="1080"/>
        <w:rPr>
          <w:sz w:val="24"/>
          <w:szCs w:val="24"/>
        </w:rPr>
      </w:pPr>
    </w:p>
    <w:p w:rsidR="00975B00" w:rsidRPr="00B949DF" w:rsidRDefault="00975B00" w:rsidP="00736D38">
      <w:pPr>
        <w:pStyle w:val="ListParagraph"/>
        <w:numPr>
          <w:ilvl w:val="0"/>
          <w:numId w:val="9"/>
        </w:numPr>
        <w:ind w:left="720"/>
        <w:rPr>
          <w:b/>
          <w:sz w:val="28"/>
          <w:szCs w:val="28"/>
        </w:rPr>
      </w:pPr>
      <w:r w:rsidRPr="00B949DF">
        <w:rPr>
          <w:b/>
          <w:sz w:val="28"/>
          <w:szCs w:val="28"/>
        </w:rPr>
        <w:t>Non-English Speakers – Not Known in Advance</w:t>
      </w:r>
      <w:r w:rsidR="00357A06" w:rsidRPr="00B949DF">
        <w:rPr>
          <w:b/>
          <w:sz w:val="28"/>
          <w:szCs w:val="28"/>
        </w:rPr>
        <w:t xml:space="preserve"> (Unexpected Enrollment)</w:t>
      </w:r>
    </w:p>
    <w:p w:rsidR="005422D2" w:rsidRDefault="00975B00" w:rsidP="00736D38">
      <w:pPr>
        <w:ind w:left="720"/>
        <w:rPr>
          <w:sz w:val="24"/>
          <w:szCs w:val="24"/>
        </w:rPr>
      </w:pPr>
      <w:r>
        <w:rPr>
          <w:sz w:val="24"/>
          <w:szCs w:val="24"/>
        </w:rPr>
        <w:t>When it is not known in advance, or expected, that non-English speaking participants</w:t>
      </w:r>
      <w:r w:rsidR="00736D38">
        <w:rPr>
          <w:sz w:val="24"/>
          <w:szCs w:val="24"/>
        </w:rPr>
        <w:t xml:space="preserve"> </w:t>
      </w:r>
      <w:r>
        <w:rPr>
          <w:sz w:val="24"/>
          <w:szCs w:val="24"/>
        </w:rPr>
        <w:t>will be eligible for enrollment, obtaining consent from someone not fluent in English requires</w:t>
      </w:r>
      <w:r w:rsidR="005422D2">
        <w:rPr>
          <w:sz w:val="24"/>
          <w:szCs w:val="24"/>
        </w:rPr>
        <w:t>:</w:t>
      </w:r>
    </w:p>
    <w:p w:rsidR="005422D2" w:rsidRPr="00A41CC8" w:rsidRDefault="00BF74A6" w:rsidP="00A41CC8">
      <w:pPr>
        <w:pStyle w:val="ListParagraph"/>
        <w:numPr>
          <w:ilvl w:val="0"/>
          <w:numId w:val="14"/>
        </w:numPr>
        <w:rPr>
          <w:sz w:val="24"/>
          <w:szCs w:val="24"/>
        </w:rPr>
      </w:pPr>
      <w:r>
        <w:rPr>
          <w:sz w:val="24"/>
          <w:szCs w:val="24"/>
        </w:rPr>
        <w:t xml:space="preserve">Use of the written Short Form.  </w:t>
      </w:r>
      <w:r w:rsidR="00936414" w:rsidRPr="005A1268">
        <w:rPr>
          <w:sz w:val="24"/>
          <w:szCs w:val="24"/>
        </w:rPr>
        <w:t xml:space="preserve">The Short Form consent is available on the MHC HRPP website in some languages.  Use of the short form requires IRB approval </w:t>
      </w:r>
      <w:r w:rsidR="00936414" w:rsidRPr="005A1268">
        <w:rPr>
          <w:b/>
          <w:i/>
          <w:sz w:val="24"/>
          <w:szCs w:val="24"/>
        </w:rPr>
        <w:t>prior</w:t>
      </w:r>
      <w:r w:rsidR="00936414" w:rsidRPr="005A1268">
        <w:rPr>
          <w:sz w:val="24"/>
          <w:szCs w:val="24"/>
        </w:rPr>
        <w:t xml:space="preserve"> to the enrollment of subjects. </w:t>
      </w:r>
    </w:p>
    <w:p w:rsidR="00E92DA5" w:rsidRPr="00A41CC8" w:rsidRDefault="00BF74A6" w:rsidP="00A41CC8">
      <w:pPr>
        <w:pStyle w:val="ListParagraph"/>
        <w:numPr>
          <w:ilvl w:val="0"/>
          <w:numId w:val="14"/>
        </w:numPr>
        <w:rPr>
          <w:sz w:val="24"/>
          <w:szCs w:val="24"/>
        </w:rPr>
      </w:pPr>
      <w:r>
        <w:rPr>
          <w:sz w:val="24"/>
          <w:szCs w:val="24"/>
        </w:rPr>
        <w:t>A</w:t>
      </w:r>
      <w:r w:rsidR="00A41CC8">
        <w:rPr>
          <w:sz w:val="24"/>
          <w:szCs w:val="24"/>
        </w:rPr>
        <w:t xml:space="preserve"> </w:t>
      </w:r>
      <w:r w:rsidR="00357A06" w:rsidRPr="00A41CC8">
        <w:rPr>
          <w:sz w:val="24"/>
          <w:szCs w:val="24"/>
        </w:rPr>
        <w:t xml:space="preserve">written summary (generally the </w:t>
      </w:r>
      <w:r w:rsidR="00684757">
        <w:rPr>
          <w:sz w:val="24"/>
          <w:szCs w:val="24"/>
        </w:rPr>
        <w:t xml:space="preserve">IRB-approved </w:t>
      </w:r>
      <w:r w:rsidR="00357A06" w:rsidRPr="00A41CC8">
        <w:rPr>
          <w:sz w:val="24"/>
          <w:szCs w:val="24"/>
        </w:rPr>
        <w:t xml:space="preserve">English ICF). </w:t>
      </w:r>
      <w:r w:rsidR="00975B00" w:rsidRPr="00A41CC8">
        <w:rPr>
          <w:sz w:val="24"/>
          <w:szCs w:val="24"/>
        </w:rPr>
        <w:t xml:space="preserve"> </w:t>
      </w:r>
    </w:p>
    <w:p w:rsidR="004473DF" w:rsidRPr="001B19E0" w:rsidRDefault="004473DF" w:rsidP="00975B00">
      <w:pPr>
        <w:rPr>
          <w:b/>
          <w:sz w:val="28"/>
          <w:szCs w:val="28"/>
        </w:rPr>
      </w:pPr>
      <w:r>
        <w:rPr>
          <w:b/>
          <w:sz w:val="24"/>
          <w:szCs w:val="24"/>
        </w:rPr>
        <w:tab/>
      </w:r>
      <w:r w:rsidR="001B19E0" w:rsidRPr="001B19E0">
        <w:rPr>
          <w:b/>
          <w:sz w:val="28"/>
          <w:szCs w:val="28"/>
        </w:rPr>
        <w:t xml:space="preserve">Submission </w:t>
      </w:r>
      <w:r w:rsidRPr="001B19E0">
        <w:rPr>
          <w:b/>
          <w:sz w:val="28"/>
          <w:szCs w:val="28"/>
        </w:rPr>
        <w:t>Process for Not Known in Advance</w:t>
      </w:r>
    </w:p>
    <w:p w:rsidR="006973B9" w:rsidRPr="00FD4330" w:rsidRDefault="00480914" w:rsidP="00FD4330">
      <w:pPr>
        <w:pStyle w:val="ListParagraph"/>
        <w:numPr>
          <w:ilvl w:val="0"/>
          <w:numId w:val="8"/>
        </w:numPr>
        <w:rPr>
          <w:sz w:val="24"/>
          <w:szCs w:val="24"/>
        </w:rPr>
      </w:pPr>
      <w:r w:rsidRPr="00005E71">
        <w:rPr>
          <w:sz w:val="24"/>
          <w:szCs w:val="24"/>
        </w:rPr>
        <w:t xml:space="preserve">Submit a modification to the IRB for approval of the </w:t>
      </w:r>
      <w:r w:rsidR="004473DF" w:rsidRPr="00005E71">
        <w:rPr>
          <w:sz w:val="24"/>
          <w:szCs w:val="24"/>
        </w:rPr>
        <w:t>Short Form</w:t>
      </w:r>
      <w:r w:rsidR="006973B9">
        <w:rPr>
          <w:sz w:val="24"/>
          <w:szCs w:val="24"/>
        </w:rPr>
        <w:t xml:space="preserve">, </w:t>
      </w:r>
      <w:r w:rsidR="00A846CE">
        <w:rPr>
          <w:sz w:val="24"/>
          <w:szCs w:val="24"/>
        </w:rPr>
        <w:t xml:space="preserve">stand-alone </w:t>
      </w:r>
      <w:r w:rsidR="00E8645D">
        <w:rPr>
          <w:sz w:val="24"/>
          <w:szCs w:val="24"/>
        </w:rPr>
        <w:t>HIPAA</w:t>
      </w:r>
      <w:r w:rsidR="00A846CE">
        <w:rPr>
          <w:sz w:val="24"/>
          <w:szCs w:val="24"/>
        </w:rPr>
        <w:t xml:space="preserve"> document</w:t>
      </w:r>
      <w:r w:rsidR="006973B9">
        <w:rPr>
          <w:sz w:val="24"/>
          <w:szCs w:val="24"/>
        </w:rPr>
        <w:t xml:space="preserve">, </w:t>
      </w:r>
      <w:r w:rsidR="00A748B5">
        <w:rPr>
          <w:sz w:val="24"/>
          <w:szCs w:val="24"/>
        </w:rPr>
        <w:t>written summary (generally the IRB</w:t>
      </w:r>
      <w:r w:rsidR="00684757">
        <w:rPr>
          <w:sz w:val="24"/>
          <w:szCs w:val="24"/>
        </w:rPr>
        <w:t>-</w:t>
      </w:r>
      <w:r w:rsidR="00A748B5">
        <w:rPr>
          <w:sz w:val="24"/>
          <w:szCs w:val="24"/>
        </w:rPr>
        <w:t xml:space="preserve">approved ICF) </w:t>
      </w:r>
      <w:r w:rsidR="006973B9">
        <w:rPr>
          <w:sz w:val="24"/>
          <w:szCs w:val="24"/>
        </w:rPr>
        <w:t>and all other study related documents</w:t>
      </w:r>
      <w:r w:rsidR="00E8645D">
        <w:rPr>
          <w:sz w:val="24"/>
          <w:szCs w:val="24"/>
        </w:rPr>
        <w:t xml:space="preserve"> </w:t>
      </w:r>
      <w:r w:rsidR="004473DF" w:rsidRPr="00005E71">
        <w:rPr>
          <w:sz w:val="24"/>
          <w:szCs w:val="24"/>
        </w:rPr>
        <w:t>(in English and translated language)</w:t>
      </w:r>
      <w:r w:rsidR="00F8241D" w:rsidRPr="00005E71">
        <w:rPr>
          <w:sz w:val="24"/>
          <w:szCs w:val="24"/>
        </w:rPr>
        <w:t xml:space="preserve"> with certification of translation</w:t>
      </w:r>
      <w:r w:rsidR="00005E71" w:rsidRPr="00005E71">
        <w:rPr>
          <w:sz w:val="24"/>
          <w:szCs w:val="24"/>
        </w:rPr>
        <w:t xml:space="preserve">.  </w:t>
      </w:r>
    </w:p>
    <w:p w:rsidR="00930DC0" w:rsidRDefault="00005E71" w:rsidP="006973B9">
      <w:pPr>
        <w:pStyle w:val="ListParagraph"/>
        <w:numPr>
          <w:ilvl w:val="0"/>
          <w:numId w:val="8"/>
        </w:numPr>
        <w:rPr>
          <w:sz w:val="24"/>
          <w:szCs w:val="24"/>
        </w:rPr>
      </w:pPr>
      <w:r w:rsidRPr="006973B9">
        <w:rPr>
          <w:sz w:val="24"/>
          <w:szCs w:val="24"/>
        </w:rPr>
        <w:t>In the eProtocol application, the Investigator must describe the plan to manage non-English speaking participants throughout the course of the study</w:t>
      </w:r>
      <w:r w:rsidR="00554A1C" w:rsidRPr="006973B9">
        <w:rPr>
          <w:sz w:val="24"/>
          <w:szCs w:val="24"/>
        </w:rPr>
        <w:t>, including the qualifications of the interpreter</w:t>
      </w:r>
      <w:r w:rsidRPr="006973B9">
        <w:rPr>
          <w:sz w:val="24"/>
          <w:szCs w:val="24"/>
        </w:rPr>
        <w:t xml:space="preserve">.  </w:t>
      </w:r>
    </w:p>
    <w:p w:rsidR="00A846CE" w:rsidRDefault="00A846CE" w:rsidP="00A846CE">
      <w:pPr>
        <w:pStyle w:val="ListParagraph"/>
        <w:ind w:left="1080"/>
        <w:rPr>
          <w:sz w:val="24"/>
          <w:szCs w:val="24"/>
        </w:rPr>
      </w:pPr>
    </w:p>
    <w:p w:rsidR="00A35021" w:rsidRPr="00736D38" w:rsidRDefault="004473DF" w:rsidP="00736D38">
      <w:pPr>
        <w:pStyle w:val="ListParagraph"/>
        <w:numPr>
          <w:ilvl w:val="0"/>
          <w:numId w:val="9"/>
        </w:numPr>
        <w:ind w:left="720"/>
        <w:rPr>
          <w:b/>
          <w:sz w:val="28"/>
          <w:szCs w:val="28"/>
        </w:rPr>
      </w:pPr>
      <w:r w:rsidRPr="0066057A">
        <w:rPr>
          <w:b/>
          <w:sz w:val="28"/>
          <w:szCs w:val="28"/>
        </w:rPr>
        <w:t xml:space="preserve">Who </w:t>
      </w:r>
      <w:r w:rsidR="00736D38">
        <w:rPr>
          <w:b/>
          <w:sz w:val="28"/>
          <w:szCs w:val="28"/>
        </w:rPr>
        <w:t>should be</w:t>
      </w:r>
      <w:r w:rsidRPr="0066057A">
        <w:rPr>
          <w:b/>
          <w:sz w:val="28"/>
          <w:szCs w:val="28"/>
        </w:rPr>
        <w:t xml:space="preserve"> present for the Consent Discu</w:t>
      </w:r>
      <w:r w:rsidR="00A35021" w:rsidRPr="0066057A">
        <w:rPr>
          <w:b/>
          <w:sz w:val="28"/>
          <w:szCs w:val="28"/>
        </w:rPr>
        <w:t>ssion:</w:t>
      </w:r>
    </w:p>
    <w:p w:rsidR="00DC5149" w:rsidRDefault="00A35021" w:rsidP="00DC5149">
      <w:pPr>
        <w:pStyle w:val="ListParagraph"/>
        <w:numPr>
          <w:ilvl w:val="0"/>
          <w:numId w:val="11"/>
        </w:numPr>
        <w:rPr>
          <w:sz w:val="24"/>
          <w:szCs w:val="24"/>
        </w:rPr>
      </w:pPr>
      <w:r w:rsidRPr="00DC5149">
        <w:rPr>
          <w:b/>
          <w:sz w:val="24"/>
          <w:szCs w:val="24"/>
        </w:rPr>
        <w:t>Consenter</w:t>
      </w:r>
      <w:r w:rsidRPr="004473DF">
        <w:rPr>
          <w:sz w:val="24"/>
          <w:szCs w:val="24"/>
        </w:rPr>
        <w:t xml:space="preserve"> – Principal Investigator or designee (authorized by IRB)</w:t>
      </w:r>
    </w:p>
    <w:p w:rsidR="00A35021" w:rsidRPr="00DC5149" w:rsidRDefault="00A35021" w:rsidP="00DC5149">
      <w:pPr>
        <w:pStyle w:val="ListParagraph"/>
        <w:numPr>
          <w:ilvl w:val="0"/>
          <w:numId w:val="11"/>
        </w:numPr>
        <w:rPr>
          <w:sz w:val="24"/>
          <w:szCs w:val="24"/>
        </w:rPr>
      </w:pPr>
      <w:r w:rsidRPr="006973B9">
        <w:rPr>
          <w:b/>
          <w:sz w:val="24"/>
          <w:szCs w:val="24"/>
        </w:rPr>
        <w:t>Interpreter</w:t>
      </w:r>
      <w:r w:rsidR="00962F25" w:rsidRPr="006973B9">
        <w:rPr>
          <w:sz w:val="24"/>
          <w:szCs w:val="24"/>
        </w:rPr>
        <w:t xml:space="preserve"> </w:t>
      </w:r>
      <w:r w:rsidR="00830BC1" w:rsidRPr="006973B9">
        <w:rPr>
          <w:sz w:val="24"/>
          <w:szCs w:val="24"/>
        </w:rPr>
        <w:t>–</w:t>
      </w:r>
      <w:r w:rsidR="00962F25" w:rsidRPr="006973B9">
        <w:rPr>
          <w:sz w:val="24"/>
          <w:szCs w:val="24"/>
        </w:rPr>
        <w:t xml:space="preserve"> </w:t>
      </w:r>
      <w:r w:rsidR="00830BC1" w:rsidRPr="006973B9">
        <w:rPr>
          <w:sz w:val="24"/>
          <w:szCs w:val="24"/>
        </w:rPr>
        <w:t xml:space="preserve">must be fluent in both English and the subject’s language </w:t>
      </w:r>
      <w:r w:rsidR="00A5185A" w:rsidRPr="006973B9">
        <w:rPr>
          <w:sz w:val="24"/>
          <w:szCs w:val="24"/>
        </w:rPr>
        <w:t xml:space="preserve">and be unbiased </w:t>
      </w:r>
      <w:r w:rsidR="00830BC1" w:rsidRPr="006973B9">
        <w:rPr>
          <w:sz w:val="24"/>
          <w:szCs w:val="24"/>
        </w:rPr>
        <w:t>(</w:t>
      </w:r>
      <w:r w:rsidR="00A5185A" w:rsidRPr="006973B9">
        <w:rPr>
          <w:sz w:val="24"/>
          <w:szCs w:val="24"/>
        </w:rPr>
        <w:t xml:space="preserve">the </w:t>
      </w:r>
      <w:r w:rsidR="00830BC1" w:rsidRPr="006973B9">
        <w:rPr>
          <w:sz w:val="24"/>
          <w:szCs w:val="24"/>
        </w:rPr>
        <w:t xml:space="preserve">interpreter may </w:t>
      </w:r>
      <w:r w:rsidR="00A5185A" w:rsidRPr="006973B9">
        <w:rPr>
          <w:sz w:val="24"/>
          <w:szCs w:val="24"/>
        </w:rPr>
        <w:t xml:space="preserve">also </w:t>
      </w:r>
      <w:r w:rsidR="00830BC1" w:rsidRPr="006973B9">
        <w:rPr>
          <w:sz w:val="24"/>
          <w:szCs w:val="24"/>
        </w:rPr>
        <w:t>serve as the witness)</w:t>
      </w:r>
      <w:r w:rsidR="00ED3BA0" w:rsidRPr="006973B9">
        <w:rPr>
          <w:sz w:val="24"/>
          <w:szCs w:val="24"/>
        </w:rPr>
        <w:t xml:space="preserve">.  The interpreter may </w:t>
      </w:r>
      <w:r w:rsidR="00A846CE">
        <w:rPr>
          <w:sz w:val="24"/>
          <w:szCs w:val="24"/>
        </w:rPr>
        <w:t xml:space="preserve">be a member of the research team.  The interpreter may </w:t>
      </w:r>
      <w:r w:rsidR="00ED3BA0" w:rsidRPr="006973B9">
        <w:rPr>
          <w:sz w:val="24"/>
          <w:szCs w:val="24"/>
        </w:rPr>
        <w:t xml:space="preserve">not </w:t>
      </w:r>
      <w:r w:rsidR="00A846CE">
        <w:rPr>
          <w:sz w:val="24"/>
          <w:szCs w:val="24"/>
        </w:rPr>
        <w:t>b</w:t>
      </w:r>
      <w:r w:rsidR="00A5185A" w:rsidRPr="006973B9">
        <w:rPr>
          <w:sz w:val="24"/>
          <w:szCs w:val="24"/>
        </w:rPr>
        <w:t>e a family member.</w:t>
      </w:r>
      <w:r w:rsidR="00554A1C">
        <w:rPr>
          <w:sz w:val="24"/>
          <w:szCs w:val="24"/>
        </w:rPr>
        <w:t xml:space="preserve">  </w:t>
      </w:r>
    </w:p>
    <w:p w:rsidR="00A35021" w:rsidRPr="004473DF" w:rsidRDefault="00A35021" w:rsidP="00DC5149">
      <w:pPr>
        <w:pStyle w:val="ListParagraph"/>
        <w:numPr>
          <w:ilvl w:val="0"/>
          <w:numId w:val="11"/>
        </w:numPr>
        <w:rPr>
          <w:sz w:val="24"/>
          <w:szCs w:val="24"/>
        </w:rPr>
      </w:pPr>
      <w:r w:rsidRPr="00DC5149">
        <w:rPr>
          <w:b/>
          <w:sz w:val="24"/>
          <w:szCs w:val="24"/>
        </w:rPr>
        <w:t xml:space="preserve">Witness </w:t>
      </w:r>
      <w:r w:rsidRPr="004473DF">
        <w:rPr>
          <w:sz w:val="24"/>
          <w:szCs w:val="24"/>
        </w:rPr>
        <w:t>to Oral Presentation</w:t>
      </w:r>
      <w:r w:rsidR="00A846CE">
        <w:rPr>
          <w:sz w:val="24"/>
          <w:szCs w:val="24"/>
        </w:rPr>
        <w:t xml:space="preserve"> (may not be a member of the research team).</w:t>
      </w:r>
    </w:p>
    <w:p w:rsidR="00830BC1" w:rsidRDefault="00962F25" w:rsidP="00DC5149">
      <w:pPr>
        <w:pStyle w:val="ListParagraph"/>
        <w:numPr>
          <w:ilvl w:val="0"/>
          <w:numId w:val="11"/>
        </w:numPr>
        <w:rPr>
          <w:sz w:val="24"/>
          <w:szCs w:val="24"/>
        </w:rPr>
      </w:pPr>
      <w:r w:rsidRPr="00DC5149">
        <w:rPr>
          <w:b/>
          <w:sz w:val="24"/>
          <w:szCs w:val="24"/>
        </w:rPr>
        <w:t xml:space="preserve">Research </w:t>
      </w:r>
      <w:r w:rsidR="00A35021" w:rsidRPr="00DC5149">
        <w:rPr>
          <w:b/>
          <w:sz w:val="24"/>
          <w:szCs w:val="24"/>
        </w:rPr>
        <w:t>Subject</w:t>
      </w:r>
      <w:r>
        <w:rPr>
          <w:sz w:val="24"/>
          <w:szCs w:val="24"/>
        </w:rPr>
        <w:t>,</w:t>
      </w:r>
      <w:r w:rsidR="00A35021" w:rsidRPr="004473DF">
        <w:rPr>
          <w:sz w:val="24"/>
          <w:szCs w:val="24"/>
        </w:rPr>
        <w:t xml:space="preserve"> or </w:t>
      </w:r>
      <w:r w:rsidR="00312289">
        <w:rPr>
          <w:sz w:val="24"/>
          <w:szCs w:val="24"/>
        </w:rPr>
        <w:t>LAR</w:t>
      </w:r>
      <w:r>
        <w:rPr>
          <w:sz w:val="24"/>
          <w:szCs w:val="24"/>
        </w:rPr>
        <w:t xml:space="preserve"> </w:t>
      </w:r>
      <w:r w:rsidR="00A35021" w:rsidRPr="004473DF">
        <w:rPr>
          <w:sz w:val="24"/>
          <w:szCs w:val="24"/>
        </w:rPr>
        <w:t>(if appropriate)</w:t>
      </w:r>
    </w:p>
    <w:p w:rsidR="00522BF8" w:rsidRDefault="00522BF8" w:rsidP="00522BF8">
      <w:pPr>
        <w:pStyle w:val="ListParagraph"/>
        <w:ind w:left="1440"/>
        <w:rPr>
          <w:b/>
          <w:sz w:val="24"/>
          <w:szCs w:val="24"/>
        </w:rPr>
      </w:pPr>
    </w:p>
    <w:p w:rsidR="00B949DF" w:rsidRPr="00005E71" w:rsidRDefault="00E01738" w:rsidP="00736D38">
      <w:pPr>
        <w:spacing w:after="0" w:line="240" w:lineRule="auto"/>
        <w:jc w:val="center"/>
        <w:rPr>
          <w:b/>
          <w:sz w:val="28"/>
          <w:szCs w:val="28"/>
        </w:rPr>
      </w:pPr>
      <w:r w:rsidRPr="00005E71">
        <w:rPr>
          <w:b/>
          <w:sz w:val="28"/>
          <w:szCs w:val="28"/>
        </w:rPr>
        <w:t>SUMMARY</w:t>
      </w:r>
      <w:r w:rsidR="00E92DA5" w:rsidRPr="00005E71">
        <w:rPr>
          <w:b/>
          <w:sz w:val="28"/>
          <w:szCs w:val="28"/>
        </w:rPr>
        <w:t xml:space="preserve">: </w:t>
      </w:r>
      <w:r w:rsidR="00A35021" w:rsidRPr="00005E71">
        <w:rPr>
          <w:b/>
          <w:sz w:val="28"/>
          <w:szCs w:val="28"/>
        </w:rPr>
        <w:t>DOCUMENTATION AND RECORD KEEPING</w:t>
      </w:r>
      <w:r w:rsidRPr="00005E71">
        <w:rPr>
          <w:b/>
          <w:sz w:val="28"/>
          <w:szCs w:val="28"/>
        </w:rPr>
        <w:t xml:space="preserve"> FOR </w:t>
      </w:r>
    </w:p>
    <w:p w:rsidR="00A35021" w:rsidRDefault="00E01738" w:rsidP="00736D38">
      <w:pPr>
        <w:spacing w:after="0" w:line="240" w:lineRule="auto"/>
        <w:jc w:val="center"/>
        <w:rPr>
          <w:b/>
          <w:sz w:val="28"/>
          <w:szCs w:val="28"/>
        </w:rPr>
      </w:pPr>
      <w:r w:rsidRPr="00005E71">
        <w:rPr>
          <w:b/>
          <w:sz w:val="28"/>
          <w:szCs w:val="28"/>
        </w:rPr>
        <w:t>NON-ENGLISH SPEAKERS IN RESEARCH</w:t>
      </w:r>
    </w:p>
    <w:p w:rsidR="00736D38" w:rsidRDefault="00736D38" w:rsidP="00736D38">
      <w:pPr>
        <w:spacing w:after="0" w:line="240" w:lineRule="auto"/>
        <w:jc w:val="center"/>
        <w:rPr>
          <w:b/>
          <w:sz w:val="24"/>
          <w:szCs w:val="24"/>
        </w:rPr>
      </w:pPr>
    </w:p>
    <w:tbl>
      <w:tblPr>
        <w:tblStyle w:val="TableGrid"/>
        <w:tblW w:w="10170" w:type="dxa"/>
        <w:tblInd w:w="198" w:type="dxa"/>
        <w:tblLayout w:type="fixed"/>
        <w:tblLook w:val="04A0" w:firstRow="1" w:lastRow="0" w:firstColumn="1" w:lastColumn="0" w:noHBand="0" w:noVBand="1"/>
      </w:tblPr>
      <w:tblGrid>
        <w:gridCol w:w="990"/>
        <w:gridCol w:w="2250"/>
        <w:gridCol w:w="2430"/>
        <w:gridCol w:w="2250"/>
        <w:gridCol w:w="2250"/>
      </w:tblGrid>
      <w:tr w:rsidR="002614AE" w:rsidTr="00736D38">
        <w:tc>
          <w:tcPr>
            <w:tcW w:w="990" w:type="dxa"/>
          </w:tcPr>
          <w:p w:rsidR="00E92DA5" w:rsidRPr="00736D38" w:rsidRDefault="00E92DA5" w:rsidP="00A35021">
            <w:pPr>
              <w:rPr>
                <w:b/>
                <w:sz w:val="20"/>
                <w:szCs w:val="20"/>
              </w:rPr>
            </w:pPr>
          </w:p>
        </w:tc>
        <w:tc>
          <w:tcPr>
            <w:tcW w:w="2250" w:type="dxa"/>
            <w:shd w:val="clear" w:color="auto" w:fill="BDD6EE" w:themeFill="accent1" w:themeFillTint="66"/>
          </w:tcPr>
          <w:p w:rsidR="00E92DA5" w:rsidRPr="00736D38" w:rsidRDefault="00E92DA5" w:rsidP="00A35021">
            <w:pPr>
              <w:rPr>
                <w:b/>
                <w:sz w:val="20"/>
                <w:szCs w:val="20"/>
              </w:rPr>
            </w:pPr>
            <w:r w:rsidRPr="00736D38">
              <w:rPr>
                <w:b/>
                <w:sz w:val="20"/>
                <w:szCs w:val="20"/>
              </w:rPr>
              <w:t>Subject and/or LAR</w:t>
            </w:r>
          </w:p>
        </w:tc>
        <w:tc>
          <w:tcPr>
            <w:tcW w:w="2430" w:type="dxa"/>
            <w:shd w:val="clear" w:color="auto" w:fill="BDD6EE" w:themeFill="accent1" w:themeFillTint="66"/>
          </w:tcPr>
          <w:p w:rsidR="00E92DA5" w:rsidRPr="00736D38" w:rsidRDefault="00E92DA5" w:rsidP="00A35021">
            <w:pPr>
              <w:rPr>
                <w:b/>
                <w:sz w:val="20"/>
                <w:szCs w:val="20"/>
              </w:rPr>
            </w:pPr>
            <w:r w:rsidRPr="00736D38">
              <w:rPr>
                <w:b/>
                <w:sz w:val="20"/>
                <w:szCs w:val="20"/>
              </w:rPr>
              <w:t>Interpreter</w:t>
            </w:r>
          </w:p>
        </w:tc>
        <w:tc>
          <w:tcPr>
            <w:tcW w:w="2250" w:type="dxa"/>
            <w:shd w:val="clear" w:color="auto" w:fill="BDD6EE" w:themeFill="accent1" w:themeFillTint="66"/>
          </w:tcPr>
          <w:p w:rsidR="00E92DA5" w:rsidRPr="00736D38" w:rsidRDefault="00E92DA5" w:rsidP="00A35021">
            <w:pPr>
              <w:rPr>
                <w:b/>
                <w:sz w:val="20"/>
                <w:szCs w:val="20"/>
              </w:rPr>
            </w:pPr>
            <w:r w:rsidRPr="00736D38">
              <w:rPr>
                <w:b/>
                <w:sz w:val="20"/>
                <w:szCs w:val="20"/>
              </w:rPr>
              <w:t>Witness (the interpreter may serve as witness)</w:t>
            </w:r>
          </w:p>
        </w:tc>
        <w:tc>
          <w:tcPr>
            <w:tcW w:w="2250" w:type="dxa"/>
            <w:shd w:val="clear" w:color="auto" w:fill="BDD6EE" w:themeFill="accent1" w:themeFillTint="66"/>
          </w:tcPr>
          <w:p w:rsidR="00E92DA5" w:rsidRPr="00736D38" w:rsidRDefault="00522BF8" w:rsidP="00A35021">
            <w:pPr>
              <w:rPr>
                <w:b/>
                <w:sz w:val="20"/>
                <w:szCs w:val="20"/>
              </w:rPr>
            </w:pPr>
            <w:r w:rsidRPr="00736D38">
              <w:rPr>
                <w:b/>
                <w:sz w:val="20"/>
                <w:szCs w:val="20"/>
              </w:rPr>
              <w:t>Principal Investigator or designee (authorized by IRB)</w:t>
            </w:r>
          </w:p>
        </w:tc>
      </w:tr>
      <w:tr w:rsidR="00E92DA5" w:rsidTr="00736D38">
        <w:trPr>
          <w:trHeight w:val="1412"/>
        </w:trPr>
        <w:tc>
          <w:tcPr>
            <w:tcW w:w="990" w:type="dxa"/>
            <w:shd w:val="clear" w:color="auto" w:fill="BDD6EE" w:themeFill="accent1" w:themeFillTint="66"/>
          </w:tcPr>
          <w:p w:rsidR="00E92DA5" w:rsidRPr="00736D38" w:rsidRDefault="001B68EC" w:rsidP="001B68EC">
            <w:pPr>
              <w:rPr>
                <w:b/>
                <w:sz w:val="20"/>
                <w:szCs w:val="20"/>
              </w:rPr>
            </w:pPr>
            <w:r w:rsidRPr="00736D38">
              <w:rPr>
                <w:b/>
                <w:sz w:val="20"/>
                <w:szCs w:val="20"/>
              </w:rPr>
              <w:t>Sign and date</w:t>
            </w:r>
          </w:p>
        </w:tc>
        <w:tc>
          <w:tcPr>
            <w:tcW w:w="2250" w:type="dxa"/>
          </w:tcPr>
          <w:p w:rsidR="00E92DA5" w:rsidRPr="00736D38" w:rsidRDefault="00E92DA5" w:rsidP="00736D38">
            <w:pPr>
              <w:pStyle w:val="ListParagraph"/>
              <w:numPr>
                <w:ilvl w:val="0"/>
                <w:numId w:val="4"/>
              </w:numPr>
              <w:ind w:left="336"/>
              <w:rPr>
                <w:b/>
                <w:sz w:val="20"/>
                <w:szCs w:val="20"/>
              </w:rPr>
            </w:pPr>
            <w:r w:rsidRPr="00736D38">
              <w:rPr>
                <w:b/>
                <w:sz w:val="20"/>
                <w:szCs w:val="20"/>
              </w:rPr>
              <w:t>Translated Full ICF or short form</w:t>
            </w:r>
          </w:p>
          <w:p w:rsidR="00E92DA5" w:rsidRPr="00736D38" w:rsidRDefault="00A846CE" w:rsidP="00736D38">
            <w:pPr>
              <w:pStyle w:val="ListParagraph"/>
              <w:numPr>
                <w:ilvl w:val="0"/>
                <w:numId w:val="4"/>
              </w:numPr>
              <w:ind w:left="336"/>
              <w:rPr>
                <w:b/>
                <w:sz w:val="20"/>
                <w:szCs w:val="20"/>
              </w:rPr>
            </w:pPr>
            <w:r w:rsidRPr="00736D38">
              <w:rPr>
                <w:b/>
                <w:sz w:val="20"/>
                <w:szCs w:val="20"/>
              </w:rPr>
              <w:t xml:space="preserve">stand-alone </w:t>
            </w:r>
            <w:r w:rsidR="00E92DA5" w:rsidRPr="00736D38">
              <w:rPr>
                <w:b/>
                <w:sz w:val="20"/>
                <w:szCs w:val="20"/>
              </w:rPr>
              <w:t>HIPAA</w:t>
            </w:r>
            <w:r w:rsidR="00A411F0" w:rsidRPr="00736D38">
              <w:rPr>
                <w:b/>
                <w:sz w:val="20"/>
                <w:szCs w:val="20"/>
              </w:rPr>
              <w:t xml:space="preserve"> (if applicable)</w:t>
            </w:r>
            <w:r w:rsidR="00E92DA5" w:rsidRPr="00736D38">
              <w:rPr>
                <w:b/>
                <w:sz w:val="20"/>
                <w:szCs w:val="20"/>
              </w:rPr>
              <w:t xml:space="preserve"> </w:t>
            </w:r>
          </w:p>
        </w:tc>
        <w:tc>
          <w:tcPr>
            <w:tcW w:w="2430" w:type="dxa"/>
          </w:tcPr>
          <w:p w:rsidR="00E92DA5" w:rsidRPr="00736D38" w:rsidRDefault="00E92DA5" w:rsidP="00A35021">
            <w:pPr>
              <w:rPr>
                <w:b/>
                <w:sz w:val="20"/>
                <w:szCs w:val="20"/>
              </w:rPr>
            </w:pPr>
            <w:r w:rsidRPr="00736D38">
              <w:rPr>
                <w:b/>
                <w:sz w:val="20"/>
                <w:szCs w:val="20"/>
              </w:rPr>
              <w:t>Nothing (document use in study file, e.g. checklist)</w:t>
            </w:r>
          </w:p>
        </w:tc>
        <w:tc>
          <w:tcPr>
            <w:tcW w:w="2250" w:type="dxa"/>
          </w:tcPr>
          <w:p w:rsidR="00E92DA5" w:rsidRPr="00736D38" w:rsidRDefault="00E92DA5" w:rsidP="00736D38">
            <w:pPr>
              <w:pStyle w:val="ListParagraph"/>
              <w:numPr>
                <w:ilvl w:val="0"/>
                <w:numId w:val="4"/>
              </w:numPr>
              <w:ind w:left="336"/>
              <w:rPr>
                <w:b/>
                <w:sz w:val="20"/>
                <w:szCs w:val="20"/>
              </w:rPr>
            </w:pPr>
            <w:r w:rsidRPr="00736D38">
              <w:rPr>
                <w:b/>
                <w:sz w:val="20"/>
                <w:szCs w:val="20"/>
              </w:rPr>
              <w:t>Short form</w:t>
            </w:r>
          </w:p>
          <w:p w:rsidR="00E92DA5" w:rsidRPr="00736D38" w:rsidRDefault="00E92DA5" w:rsidP="00736D38">
            <w:pPr>
              <w:pStyle w:val="ListParagraph"/>
              <w:numPr>
                <w:ilvl w:val="0"/>
                <w:numId w:val="4"/>
              </w:numPr>
              <w:ind w:left="336"/>
              <w:rPr>
                <w:b/>
                <w:sz w:val="20"/>
                <w:szCs w:val="20"/>
              </w:rPr>
            </w:pPr>
            <w:r w:rsidRPr="00736D38">
              <w:rPr>
                <w:b/>
                <w:sz w:val="20"/>
                <w:szCs w:val="20"/>
              </w:rPr>
              <w:t>Full English ICF or summary</w:t>
            </w:r>
          </w:p>
        </w:tc>
        <w:tc>
          <w:tcPr>
            <w:tcW w:w="2250" w:type="dxa"/>
          </w:tcPr>
          <w:p w:rsidR="00E92DA5" w:rsidRPr="00736D38" w:rsidRDefault="00E92DA5" w:rsidP="00736D38">
            <w:pPr>
              <w:pStyle w:val="ListParagraph"/>
              <w:numPr>
                <w:ilvl w:val="0"/>
                <w:numId w:val="4"/>
              </w:numPr>
              <w:ind w:left="336"/>
              <w:rPr>
                <w:b/>
                <w:sz w:val="20"/>
                <w:szCs w:val="20"/>
              </w:rPr>
            </w:pPr>
            <w:r w:rsidRPr="00736D38">
              <w:rPr>
                <w:b/>
                <w:sz w:val="20"/>
                <w:szCs w:val="20"/>
              </w:rPr>
              <w:t>Full English ICF or summary</w:t>
            </w:r>
          </w:p>
        </w:tc>
      </w:tr>
      <w:tr w:rsidR="00E92DA5" w:rsidTr="00736D38">
        <w:trPr>
          <w:trHeight w:val="1547"/>
        </w:trPr>
        <w:tc>
          <w:tcPr>
            <w:tcW w:w="990" w:type="dxa"/>
            <w:shd w:val="clear" w:color="auto" w:fill="BDD6EE" w:themeFill="accent1" w:themeFillTint="66"/>
          </w:tcPr>
          <w:p w:rsidR="00E92DA5" w:rsidRPr="00736D38" w:rsidRDefault="00E92DA5" w:rsidP="00A35021">
            <w:pPr>
              <w:rPr>
                <w:b/>
                <w:sz w:val="20"/>
                <w:szCs w:val="20"/>
              </w:rPr>
            </w:pPr>
            <w:r w:rsidRPr="00736D38">
              <w:rPr>
                <w:b/>
                <w:sz w:val="20"/>
                <w:szCs w:val="20"/>
              </w:rPr>
              <w:t xml:space="preserve">Receives </w:t>
            </w:r>
            <w:r w:rsidR="001B68EC" w:rsidRPr="00736D38">
              <w:rPr>
                <w:b/>
                <w:sz w:val="20"/>
                <w:szCs w:val="20"/>
              </w:rPr>
              <w:t xml:space="preserve">signed and dated </w:t>
            </w:r>
            <w:r w:rsidRPr="00736D38">
              <w:rPr>
                <w:b/>
                <w:sz w:val="20"/>
                <w:szCs w:val="20"/>
              </w:rPr>
              <w:t>copy</w:t>
            </w:r>
          </w:p>
        </w:tc>
        <w:tc>
          <w:tcPr>
            <w:tcW w:w="2250" w:type="dxa"/>
          </w:tcPr>
          <w:p w:rsidR="00522BF8" w:rsidRPr="00736D38" w:rsidRDefault="00522BF8" w:rsidP="00736D38">
            <w:pPr>
              <w:pStyle w:val="ListParagraph"/>
              <w:numPr>
                <w:ilvl w:val="0"/>
                <w:numId w:val="4"/>
              </w:numPr>
              <w:ind w:left="336"/>
              <w:rPr>
                <w:b/>
                <w:sz w:val="20"/>
                <w:szCs w:val="20"/>
              </w:rPr>
            </w:pPr>
            <w:r w:rsidRPr="00736D38">
              <w:rPr>
                <w:b/>
                <w:sz w:val="20"/>
                <w:szCs w:val="20"/>
              </w:rPr>
              <w:t>Translated Full ICF</w:t>
            </w:r>
            <w:r w:rsidR="001B68EC" w:rsidRPr="00736D38">
              <w:rPr>
                <w:b/>
                <w:sz w:val="20"/>
                <w:szCs w:val="20"/>
              </w:rPr>
              <w:t xml:space="preserve">¹ </w:t>
            </w:r>
            <w:r w:rsidRPr="00736D38">
              <w:rPr>
                <w:b/>
                <w:sz w:val="20"/>
                <w:szCs w:val="20"/>
              </w:rPr>
              <w:t>or short form</w:t>
            </w:r>
          </w:p>
          <w:p w:rsidR="00522BF8" w:rsidRPr="00736D38" w:rsidRDefault="00522BF8" w:rsidP="00736D38">
            <w:pPr>
              <w:pStyle w:val="ListParagraph"/>
              <w:numPr>
                <w:ilvl w:val="0"/>
                <w:numId w:val="4"/>
              </w:numPr>
              <w:ind w:left="336"/>
              <w:rPr>
                <w:b/>
                <w:sz w:val="20"/>
                <w:szCs w:val="20"/>
              </w:rPr>
            </w:pPr>
            <w:r w:rsidRPr="00736D38">
              <w:rPr>
                <w:b/>
                <w:sz w:val="20"/>
                <w:szCs w:val="20"/>
              </w:rPr>
              <w:t>Full English ICF</w:t>
            </w:r>
          </w:p>
          <w:p w:rsidR="00E92DA5" w:rsidRPr="00736D38" w:rsidRDefault="00DB6E2B" w:rsidP="00736D38">
            <w:pPr>
              <w:pStyle w:val="ListParagraph"/>
              <w:numPr>
                <w:ilvl w:val="0"/>
                <w:numId w:val="4"/>
              </w:numPr>
              <w:ind w:left="336"/>
              <w:rPr>
                <w:b/>
                <w:sz w:val="20"/>
                <w:szCs w:val="20"/>
              </w:rPr>
            </w:pPr>
            <w:r w:rsidRPr="00736D38">
              <w:rPr>
                <w:b/>
                <w:sz w:val="20"/>
                <w:szCs w:val="20"/>
              </w:rPr>
              <w:t>Stand</w:t>
            </w:r>
            <w:r w:rsidR="00A846CE" w:rsidRPr="00736D38">
              <w:rPr>
                <w:b/>
                <w:sz w:val="20"/>
                <w:szCs w:val="20"/>
              </w:rPr>
              <w:t xml:space="preserve">-alone </w:t>
            </w:r>
            <w:r w:rsidR="00522BF8" w:rsidRPr="00736D38">
              <w:rPr>
                <w:b/>
                <w:sz w:val="20"/>
                <w:szCs w:val="20"/>
              </w:rPr>
              <w:t>HIPAA</w:t>
            </w:r>
            <w:r w:rsidR="00A411F0" w:rsidRPr="00736D38">
              <w:rPr>
                <w:b/>
                <w:sz w:val="20"/>
                <w:szCs w:val="20"/>
              </w:rPr>
              <w:t xml:space="preserve"> (if applicable)</w:t>
            </w:r>
          </w:p>
        </w:tc>
        <w:tc>
          <w:tcPr>
            <w:tcW w:w="2430" w:type="dxa"/>
          </w:tcPr>
          <w:p w:rsidR="00E92DA5" w:rsidRPr="00736D38" w:rsidRDefault="00522BF8" w:rsidP="00A35021">
            <w:pPr>
              <w:rPr>
                <w:b/>
                <w:sz w:val="20"/>
                <w:szCs w:val="20"/>
              </w:rPr>
            </w:pPr>
            <w:r w:rsidRPr="00736D38">
              <w:rPr>
                <w:b/>
                <w:sz w:val="20"/>
                <w:szCs w:val="20"/>
              </w:rPr>
              <w:t>Nothing</w:t>
            </w:r>
          </w:p>
        </w:tc>
        <w:tc>
          <w:tcPr>
            <w:tcW w:w="2250" w:type="dxa"/>
          </w:tcPr>
          <w:p w:rsidR="00E92DA5" w:rsidRPr="00736D38" w:rsidRDefault="00522BF8" w:rsidP="00A35021">
            <w:pPr>
              <w:rPr>
                <w:b/>
                <w:sz w:val="20"/>
                <w:szCs w:val="20"/>
              </w:rPr>
            </w:pPr>
            <w:r w:rsidRPr="00736D38">
              <w:rPr>
                <w:b/>
                <w:sz w:val="20"/>
                <w:szCs w:val="20"/>
              </w:rPr>
              <w:t>Nothing</w:t>
            </w:r>
          </w:p>
        </w:tc>
        <w:tc>
          <w:tcPr>
            <w:tcW w:w="2250" w:type="dxa"/>
          </w:tcPr>
          <w:p w:rsidR="00E92DA5" w:rsidRPr="00736D38" w:rsidRDefault="00522BF8" w:rsidP="00736D38">
            <w:pPr>
              <w:pStyle w:val="ListParagraph"/>
              <w:numPr>
                <w:ilvl w:val="0"/>
                <w:numId w:val="4"/>
              </w:numPr>
              <w:ind w:left="336"/>
              <w:rPr>
                <w:b/>
                <w:sz w:val="20"/>
                <w:szCs w:val="20"/>
              </w:rPr>
            </w:pPr>
            <w:r w:rsidRPr="00736D38">
              <w:rPr>
                <w:b/>
                <w:sz w:val="20"/>
                <w:szCs w:val="20"/>
              </w:rPr>
              <w:t xml:space="preserve">Both forms </w:t>
            </w:r>
            <w:r w:rsidR="00830BC1" w:rsidRPr="00736D38">
              <w:rPr>
                <w:b/>
                <w:sz w:val="20"/>
                <w:szCs w:val="20"/>
              </w:rPr>
              <w:t xml:space="preserve">must </w:t>
            </w:r>
            <w:r w:rsidRPr="00736D38">
              <w:rPr>
                <w:b/>
                <w:sz w:val="20"/>
                <w:szCs w:val="20"/>
              </w:rPr>
              <w:t>be maintained in subject research files (staple together)</w:t>
            </w:r>
          </w:p>
        </w:tc>
      </w:tr>
    </w:tbl>
    <w:p w:rsidR="002614AE" w:rsidRDefault="002614AE" w:rsidP="001B68EC">
      <w:pPr>
        <w:pStyle w:val="ListParagraph"/>
        <w:rPr>
          <w:color w:val="000000" w:themeColor="text1"/>
        </w:rPr>
      </w:pPr>
    </w:p>
    <w:p w:rsidR="00E92DA5" w:rsidRPr="00736D38" w:rsidRDefault="001B68EC" w:rsidP="001B68EC">
      <w:pPr>
        <w:pStyle w:val="ListParagraph"/>
        <w:rPr>
          <w:sz w:val="20"/>
          <w:szCs w:val="20"/>
        </w:rPr>
      </w:pPr>
      <w:r w:rsidRPr="00736D38">
        <w:rPr>
          <w:color w:val="000000" w:themeColor="text1"/>
          <w:sz w:val="20"/>
          <w:szCs w:val="20"/>
        </w:rPr>
        <w:t>¹</w:t>
      </w:r>
      <w:r w:rsidR="00DB6E2B" w:rsidRPr="00736D38">
        <w:rPr>
          <w:color w:val="000000" w:themeColor="text1"/>
          <w:sz w:val="20"/>
          <w:szCs w:val="20"/>
        </w:rPr>
        <w:t xml:space="preserve"> </w:t>
      </w:r>
      <w:r w:rsidRPr="00736D38">
        <w:rPr>
          <w:sz w:val="20"/>
          <w:szCs w:val="20"/>
        </w:rPr>
        <w:t>If the study is FDA regulated, and the short form is used for incidental enrollment of NES’s, FDA guidance has indicated that the subject must get a translated version of the full consent form soon after enrolling in the study (1-2 weeks).</w:t>
      </w:r>
    </w:p>
    <w:p w:rsidR="001B68EC" w:rsidRDefault="001B68EC" w:rsidP="001B68EC">
      <w:pPr>
        <w:pStyle w:val="ListParagraph"/>
        <w:rPr>
          <w:b/>
          <w:color w:val="000000" w:themeColor="text1"/>
          <w:sz w:val="24"/>
          <w:szCs w:val="24"/>
        </w:rPr>
      </w:pPr>
    </w:p>
    <w:p w:rsidR="001B68EC" w:rsidRDefault="001B68EC" w:rsidP="001B68EC">
      <w:pPr>
        <w:pStyle w:val="ListParagraph"/>
        <w:rPr>
          <w:b/>
          <w:color w:val="000000" w:themeColor="text1"/>
          <w:sz w:val="24"/>
          <w:szCs w:val="24"/>
        </w:rPr>
      </w:pPr>
    </w:p>
    <w:p w:rsidR="001B68EC" w:rsidRPr="001B68EC" w:rsidRDefault="001B68EC" w:rsidP="001B68EC">
      <w:pPr>
        <w:pStyle w:val="ListParagraph"/>
        <w:rPr>
          <w:b/>
          <w:color w:val="000000" w:themeColor="text1"/>
          <w:sz w:val="24"/>
          <w:szCs w:val="24"/>
        </w:rPr>
      </w:pPr>
    </w:p>
    <w:p w:rsidR="00CE3883" w:rsidRDefault="006D6CEE" w:rsidP="00736D38">
      <w:r w:rsidRPr="00736D38">
        <w:rPr>
          <w:b/>
          <w:sz w:val="24"/>
          <w:szCs w:val="24"/>
        </w:rPr>
        <w:t xml:space="preserve">For </w:t>
      </w:r>
      <w:r w:rsidR="00D147BA" w:rsidRPr="00736D38">
        <w:rPr>
          <w:b/>
          <w:sz w:val="24"/>
          <w:szCs w:val="24"/>
        </w:rPr>
        <w:t xml:space="preserve">assistance on </w:t>
      </w:r>
      <w:r w:rsidR="00954514" w:rsidRPr="00736D38">
        <w:rPr>
          <w:b/>
          <w:sz w:val="24"/>
          <w:szCs w:val="24"/>
        </w:rPr>
        <w:t xml:space="preserve">interpretation and </w:t>
      </w:r>
      <w:r w:rsidR="00450F16" w:rsidRPr="00736D38">
        <w:rPr>
          <w:b/>
          <w:sz w:val="24"/>
          <w:szCs w:val="24"/>
        </w:rPr>
        <w:t>t</w:t>
      </w:r>
      <w:r w:rsidRPr="00736D38">
        <w:rPr>
          <w:b/>
          <w:sz w:val="24"/>
          <w:szCs w:val="24"/>
        </w:rPr>
        <w:t xml:space="preserve">ranslation </w:t>
      </w:r>
      <w:r w:rsidR="00450F16" w:rsidRPr="00736D38">
        <w:rPr>
          <w:b/>
          <w:sz w:val="24"/>
          <w:szCs w:val="24"/>
        </w:rPr>
        <w:t>s</w:t>
      </w:r>
      <w:r w:rsidRPr="00736D38">
        <w:rPr>
          <w:b/>
          <w:sz w:val="24"/>
          <w:szCs w:val="24"/>
        </w:rPr>
        <w:t>ervices</w:t>
      </w:r>
      <w:r w:rsidR="00450F16" w:rsidRPr="00736D38">
        <w:rPr>
          <w:b/>
          <w:sz w:val="24"/>
          <w:szCs w:val="24"/>
        </w:rPr>
        <w:t xml:space="preserve">, please feel free to </w:t>
      </w:r>
      <w:r w:rsidR="004473DF" w:rsidRPr="00736D38">
        <w:rPr>
          <w:b/>
          <w:sz w:val="24"/>
          <w:szCs w:val="24"/>
        </w:rPr>
        <w:t xml:space="preserve">contact the MHC </w:t>
      </w:r>
      <w:r w:rsidR="0035249C" w:rsidRPr="00736D38">
        <w:rPr>
          <w:b/>
          <w:sz w:val="24"/>
          <w:szCs w:val="24"/>
        </w:rPr>
        <w:t>Research Integrity</w:t>
      </w:r>
      <w:r w:rsidR="004473DF" w:rsidRPr="00736D38">
        <w:rPr>
          <w:b/>
          <w:sz w:val="24"/>
          <w:szCs w:val="24"/>
        </w:rPr>
        <w:t xml:space="preserve"> office at (248)</w:t>
      </w:r>
      <w:r w:rsidR="00CD1793" w:rsidRPr="00736D38">
        <w:rPr>
          <w:b/>
          <w:sz w:val="24"/>
          <w:szCs w:val="24"/>
        </w:rPr>
        <w:t xml:space="preserve"> </w:t>
      </w:r>
      <w:r w:rsidR="004473DF" w:rsidRPr="00736D38">
        <w:rPr>
          <w:b/>
          <w:sz w:val="24"/>
          <w:szCs w:val="24"/>
        </w:rPr>
        <w:t xml:space="preserve">484-4950.  </w:t>
      </w:r>
    </w:p>
    <w:sectPr w:rsidR="00CE3883" w:rsidSect="002614A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345" w:rsidRDefault="00F62345" w:rsidP="00CE3883">
      <w:pPr>
        <w:spacing w:after="0" w:line="240" w:lineRule="auto"/>
      </w:pPr>
      <w:r>
        <w:separator/>
      </w:r>
    </w:p>
  </w:endnote>
  <w:endnote w:type="continuationSeparator" w:id="0">
    <w:p w:rsidR="00F62345" w:rsidRDefault="00F62345" w:rsidP="00CE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5E9" w:rsidRDefault="004D1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228991"/>
      <w:docPartObj>
        <w:docPartGallery w:val="Page Numbers (Bottom of Page)"/>
        <w:docPartUnique/>
      </w:docPartObj>
    </w:sdtPr>
    <w:sdtEndPr>
      <w:rPr>
        <w:noProof/>
      </w:rPr>
    </w:sdtEndPr>
    <w:sdtContent>
      <w:p w:rsidR="004473DF" w:rsidRDefault="004473DF">
        <w:pPr>
          <w:pStyle w:val="Footer"/>
          <w:jc w:val="right"/>
        </w:pPr>
        <w:r>
          <w:fldChar w:fldCharType="begin"/>
        </w:r>
        <w:r>
          <w:instrText xml:space="preserve"> PAGE   \* MERGEFORMAT </w:instrText>
        </w:r>
        <w:r>
          <w:fldChar w:fldCharType="separate"/>
        </w:r>
        <w:r w:rsidR="002614AE">
          <w:rPr>
            <w:noProof/>
          </w:rPr>
          <w:t>3</w:t>
        </w:r>
        <w:r>
          <w:rPr>
            <w:noProof/>
          </w:rPr>
          <w:fldChar w:fldCharType="end"/>
        </w:r>
      </w:p>
    </w:sdtContent>
  </w:sdt>
  <w:p w:rsidR="004473DF" w:rsidRPr="007F34F4" w:rsidRDefault="007F34F4">
    <w:pPr>
      <w:pStyle w:val="Footer"/>
      <w:rPr>
        <w:sz w:val="20"/>
        <w:szCs w:val="20"/>
      </w:rPr>
    </w:pPr>
    <w:r w:rsidRPr="007F34F4">
      <w:rPr>
        <w:sz w:val="20"/>
        <w:szCs w:val="20"/>
      </w:rPr>
      <w:t>Translation Requirements Non-English Speaking _</w:t>
    </w:r>
    <w:r w:rsidR="00E87CEF" w:rsidRPr="007F34F4">
      <w:rPr>
        <w:sz w:val="20"/>
        <w:szCs w:val="20"/>
      </w:rPr>
      <w:t>Version 1.</w:t>
    </w:r>
    <w:r w:rsidR="004D15E9">
      <w:rPr>
        <w:sz w:val="20"/>
        <w:szCs w:val="20"/>
      </w:rPr>
      <w:t>21.</w:t>
    </w:r>
    <w:r w:rsidR="00E87CEF" w:rsidRPr="007F34F4">
      <w:rPr>
        <w:sz w:val="20"/>
        <w:szCs w:val="20"/>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793232"/>
      <w:docPartObj>
        <w:docPartGallery w:val="Page Numbers (Bottom of Page)"/>
        <w:docPartUnique/>
      </w:docPartObj>
    </w:sdtPr>
    <w:sdtEndPr>
      <w:rPr>
        <w:noProof/>
      </w:rPr>
    </w:sdtEndPr>
    <w:sdtContent>
      <w:p w:rsidR="004473DF" w:rsidRDefault="004473DF">
        <w:pPr>
          <w:pStyle w:val="Footer"/>
          <w:jc w:val="right"/>
        </w:pPr>
        <w:r>
          <w:fldChar w:fldCharType="begin"/>
        </w:r>
        <w:r>
          <w:instrText xml:space="preserve"> PAGE   \* MERGEFORMAT </w:instrText>
        </w:r>
        <w:r>
          <w:fldChar w:fldCharType="separate"/>
        </w:r>
        <w:r w:rsidR="00E87CEF">
          <w:rPr>
            <w:noProof/>
          </w:rPr>
          <w:t>1</w:t>
        </w:r>
        <w:r>
          <w:rPr>
            <w:noProof/>
          </w:rPr>
          <w:fldChar w:fldCharType="end"/>
        </w:r>
      </w:p>
    </w:sdtContent>
  </w:sdt>
  <w:p w:rsidR="004473DF" w:rsidRDefault="008801A1">
    <w:pPr>
      <w:pStyle w:val="Footer"/>
    </w:pPr>
    <w:r>
      <w:t>V 1/18/19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345" w:rsidRDefault="00F62345" w:rsidP="00CE3883">
      <w:pPr>
        <w:spacing w:after="0" w:line="240" w:lineRule="auto"/>
      </w:pPr>
      <w:r>
        <w:separator/>
      </w:r>
    </w:p>
  </w:footnote>
  <w:footnote w:type="continuationSeparator" w:id="0">
    <w:p w:rsidR="00F62345" w:rsidRDefault="00F62345" w:rsidP="00CE3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5E9" w:rsidRDefault="004D1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883" w:rsidRDefault="00CE3883">
    <w:pPr>
      <w:pStyle w:val="Header"/>
    </w:pPr>
  </w:p>
  <w:p w:rsidR="00CE3883" w:rsidRDefault="007F34F4" w:rsidP="007F34F4">
    <w:pPr>
      <w:pStyle w:val="Header"/>
      <w:tabs>
        <w:tab w:val="clear" w:pos="9360"/>
      </w:tabs>
    </w:pPr>
    <w:r>
      <w:rPr>
        <w:rFonts w:ascii="Calibri" w:hAnsi="Calibri" w:cs="Calibri"/>
        <w:noProof/>
        <w:sz w:val="96"/>
        <w:szCs w:val="96"/>
      </w:rPr>
      <w:drawing>
        <wp:inline distT="0" distB="0" distL="0" distR="0" wp14:anchorId="43029306" wp14:editId="71242513">
          <wp:extent cx="1866900" cy="730133"/>
          <wp:effectExtent l="0" t="0" r="0" b="0"/>
          <wp:docPr id="7" name="Picture 3" descr="New M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MH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960" cy="731330"/>
                  </a:xfrm>
                  <a:prstGeom prst="rect">
                    <a:avLst/>
                  </a:prstGeom>
                  <a:noFill/>
                  <a:ln>
                    <a:noFill/>
                  </a:ln>
                </pic:spPr>
              </pic:pic>
            </a:graphicData>
          </a:graphic>
        </wp:inline>
      </w:drawing>
    </w:r>
  </w:p>
  <w:p w:rsidR="007F34F4" w:rsidRDefault="007F34F4" w:rsidP="007F34F4">
    <w:pPr>
      <w:pStyle w:val="Header"/>
      <w:tabs>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AE8" w:rsidRPr="00E87AE8" w:rsidRDefault="00E87AE8" w:rsidP="00E87AE8">
    <w:pPr>
      <w:tabs>
        <w:tab w:val="center" w:pos="4320"/>
        <w:tab w:val="right" w:pos="8640"/>
      </w:tabs>
      <w:spacing w:after="0" w:line="240" w:lineRule="auto"/>
      <w:rPr>
        <w:rFonts w:ascii="Times New Roman" w:eastAsia="Times New Roman" w:hAnsi="Times New Roman" w:cs="Times New Roman"/>
        <w:sz w:val="24"/>
        <w:szCs w:val="24"/>
      </w:rPr>
    </w:pPr>
    <w:r w:rsidRPr="00E87AE8">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04CAD890" wp14:editId="74E2BF69">
          <wp:simplePos x="0" y="0"/>
          <wp:positionH relativeFrom="column">
            <wp:posOffset>-752475</wp:posOffset>
          </wp:positionH>
          <wp:positionV relativeFrom="paragraph">
            <wp:posOffset>169545</wp:posOffset>
          </wp:positionV>
          <wp:extent cx="19431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85800"/>
                  </a:xfrm>
                  <a:prstGeom prst="rect">
                    <a:avLst/>
                  </a:prstGeom>
                  <a:noFill/>
                </pic:spPr>
              </pic:pic>
            </a:graphicData>
          </a:graphic>
          <wp14:sizeRelH relativeFrom="page">
            <wp14:pctWidth>0</wp14:pctWidth>
          </wp14:sizeRelH>
          <wp14:sizeRelV relativeFrom="page">
            <wp14:pctHeight>0</wp14:pctHeight>
          </wp14:sizeRelV>
        </wp:anchor>
      </w:drawing>
    </w:r>
  </w:p>
  <w:p w:rsidR="00E87AE8" w:rsidRPr="00E87AE8" w:rsidRDefault="00E87AE8" w:rsidP="00E87AE8">
    <w:pPr>
      <w:tabs>
        <w:tab w:val="center" w:pos="4320"/>
        <w:tab w:val="left" w:pos="7371"/>
        <w:tab w:val="right" w:pos="9360"/>
      </w:tabs>
      <w:spacing w:after="0" w:line="240" w:lineRule="auto"/>
      <w:jc w:val="right"/>
      <w:rPr>
        <w:rFonts w:ascii="Times New Roman" w:eastAsia="Times New Roman" w:hAnsi="Times New Roman" w:cs="Times New Roman"/>
        <w:b/>
        <w:sz w:val="16"/>
        <w:szCs w:val="16"/>
      </w:rPr>
    </w:pPr>
    <w:r w:rsidRPr="00E87AE8">
      <w:rPr>
        <w:rFonts w:ascii="Times New Roman" w:eastAsia="Times New Roman" w:hAnsi="Times New Roman" w:cs="Times New Roman"/>
        <w:sz w:val="24"/>
        <w:szCs w:val="24"/>
      </w:rPr>
      <w:tab/>
    </w:r>
    <w:r w:rsidR="0035249C">
      <w:rPr>
        <w:rFonts w:ascii="Times New Roman" w:eastAsia="Times New Roman" w:hAnsi="Times New Roman" w:cs="Times New Roman"/>
        <w:b/>
        <w:sz w:val="16"/>
        <w:szCs w:val="16"/>
      </w:rPr>
      <w:t>RESEARCH INTEGRITY</w:t>
    </w:r>
  </w:p>
  <w:p w:rsidR="00E87AE8" w:rsidRPr="00E87AE8" w:rsidRDefault="00E87AE8" w:rsidP="00E87AE8">
    <w:pPr>
      <w:tabs>
        <w:tab w:val="center" w:pos="4320"/>
        <w:tab w:val="left" w:pos="7371"/>
        <w:tab w:val="right" w:pos="9360"/>
      </w:tabs>
      <w:spacing w:after="0" w:line="240" w:lineRule="auto"/>
      <w:jc w:val="right"/>
      <w:rPr>
        <w:rFonts w:ascii="Times New Roman" w:eastAsia="Times New Roman" w:hAnsi="Times New Roman" w:cs="Times New Roman"/>
        <w:b/>
        <w:sz w:val="16"/>
        <w:szCs w:val="16"/>
      </w:rPr>
    </w:pPr>
    <w:r w:rsidRPr="00E87AE8">
      <w:rPr>
        <w:rFonts w:ascii="Times New Roman" w:eastAsia="Times New Roman" w:hAnsi="Times New Roman" w:cs="Times New Roman"/>
        <w:b/>
        <w:sz w:val="16"/>
        <w:szCs w:val="16"/>
      </w:rPr>
      <w:t xml:space="preserve">                                                                            MHC Institutional Review Board</w:t>
    </w:r>
  </w:p>
  <w:p w:rsidR="00E87AE8" w:rsidRPr="00E87AE8" w:rsidRDefault="00E87AE8" w:rsidP="00E87AE8">
    <w:pPr>
      <w:tabs>
        <w:tab w:val="center" w:pos="4320"/>
        <w:tab w:val="left" w:pos="7371"/>
        <w:tab w:val="right" w:pos="9360"/>
      </w:tabs>
      <w:spacing w:after="0" w:line="240" w:lineRule="auto"/>
      <w:jc w:val="right"/>
      <w:rPr>
        <w:rFonts w:ascii="Times New Roman" w:eastAsia="Times New Roman" w:hAnsi="Times New Roman" w:cs="Times New Roman"/>
        <w:b/>
        <w:sz w:val="16"/>
        <w:szCs w:val="16"/>
      </w:rPr>
    </w:pPr>
    <w:r w:rsidRPr="00E87AE8">
      <w:rPr>
        <w:rFonts w:ascii="Times New Roman" w:eastAsia="Times New Roman" w:hAnsi="Times New Roman" w:cs="Times New Roman"/>
        <w:b/>
        <w:sz w:val="16"/>
        <w:szCs w:val="16"/>
      </w:rPr>
      <w:t>2701 Cambridge Ct., Suite 110</w:t>
    </w:r>
  </w:p>
  <w:p w:rsidR="00E87AE8" w:rsidRPr="00E87AE8" w:rsidRDefault="00E87AE8" w:rsidP="00E87AE8">
    <w:pPr>
      <w:tabs>
        <w:tab w:val="center" w:pos="4320"/>
        <w:tab w:val="left" w:pos="7371"/>
        <w:tab w:val="right" w:pos="9360"/>
      </w:tabs>
      <w:spacing w:after="0" w:line="240" w:lineRule="auto"/>
      <w:jc w:val="right"/>
      <w:rPr>
        <w:rFonts w:ascii="Times New Roman" w:eastAsia="Times New Roman" w:hAnsi="Times New Roman" w:cs="Times New Roman"/>
        <w:b/>
        <w:sz w:val="16"/>
        <w:szCs w:val="16"/>
      </w:rPr>
    </w:pPr>
    <w:r w:rsidRPr="00E87AE8">
      <w:rPr>
        <w:rFonts w:ascii="Times New Roman" w:eastAsia="Times New Roman" w:hAnsi="Times New Roman" w:cs="Times New Roman"/>
        <w:b/>
        <w:sz w:val="16"/>
        <w:szCs w:val="16"/>
      </w:rPr>
      <w:t>Auburn Hills, MI  48326</w:t>
    </w:r>
  </w:p>
  <w:p w:rsidR="00E87AE8" w:rsidRPr="00E87AE8" w:rsidRDefault="00E87AE8" w:rsidP="00E87AE8">
    <w:pPr>
      <w:tabs>
        <w:tab w:val="center" w:pos="4320"/>
        <w:tab w:val="left" w:pos="7371"/>
        <w:tab w:val="right" w:pos="9360"/>
      </w:tabs>
      <w:spacing w:after="0" w:line="240" w:lineRule="auto"/>
      <w:jc w:val="right"/>
      <w:rPr>
        <w:rFonts w:ascii="Times New Roman" w:eastAsia="Times New Roman" w:hAnsi="Times New Roman" w:cs="Times New Roman"/>
        <w:b/>
        <w:sz w:val="16"/>
        <w:szCs w:val="16"/>
      </w:rPr>
    </w:pPr>
    <w:r w:rsidRPr="00E87AE8">
      <w:rPr>
        <w:rFonts w:ascii="Times New Roman" w:eastAsia="Times New Roman" w:hAnsi="Times New Roman" w:cs="Times New Roman"/>
        <w:b/>
        <w:sz w:val="16"/>
        <w:szCs w:val="16"/>
      </w:rPr>
      <w:t>Phone: (248) 484-4950   Fax: (248) 276-9732</w:t>
    </w:r>
  </w:p>
  <w:p w:rsidR="00E87AE8" w:rsidRPr="00E87AE8" w:rsidRDefault="00E87AE8" w:rsidP="00E87AE8">
    <w:pPr>
      <w:tabs>
        <w:tab w:val="center" w:pos="4320"/>
        <w:tab w:val="right" w:pos="8640"/>
      </w:tabs>
      <w:spacing w:after="0" w:line="240" w:lineRule="auto"/>
      <w:rPr>
        <w:rFonts w:ascii="Times New Roman" w:eastAsia="Times New Roman" w:hAnsi="Times New Roman" w:cs="Times New Roman"/>
        <w:sz w:val="24"/>
        <w:szCs w:val="24"/>
      </w:rPr>
    </w:pPr>
  </w:p>
  <w:p w:rsidR="00E87AE8" w:rsidRDefault="00E87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FCB"/>
      </v:shape>
    </w:pict>
  </w:numPicBullet>
  <w:abstractNum w:abstractNumId="0" w15:restartNumberingAfterBreak="0">
    <w:nsid w:val="057A54A2"/>
    <w:multiLevelType w:val="hybridMultilevel"/>
    <w:tmpl w:val="1458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9755C"/>
    <w:multiLevelType w:val="hybridMultilevel"/>
    <w:tmpl w:val="7020D92A"/>
    <w:lvl w:ilvl="0" w:tplc="FC505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94C96"/>
    <w:multiLevelType w:val="hybridMultilevel"/>
    <w:tmpl w:val="14267E48"/>
    <w:lvl w:ilvl="0" w:tplc="C1046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6074A"/>
    <w:multiLevelType w:val="hybridMultilevel"/>
    <w:tmpl w:val="9094EB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1F86CFC"/>
    <w:multiLevelType w:val="hybridMultilevel"/>
    <w:tmpl w:val="C154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F6920"/>
    <w:multiLevelType w:val="hybridMultilevel"/>
    <w:tmpl w:val="51AA357A"/>
    <w:lvl w:ilvl="0" w:tplc="04D6E3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1A6822"/>
    <w:multiLevelType w:val="hybridMultilevel"/>
    <w:tmpl w:val="67BE7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3C3981"/>
    <w:multiLevelType w:val="hybridMultilevel"/>
    <w:tmpl w:val="89B2D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EA0A97"/>
    <w:multiLevelType w:val="hybridMultilevel"/>
    <w:tmpl w:val="C9CA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216C6"/>
    <w:multiLevelType w:val="hybridMultilevel"/>
    <w:tmpl w:val="E3DE5364"/>
    <w:lvl w:ilvl="0" w:tplc="8E40C7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719B6"/>
    <w:multiLevelType w:val="hybridMultilevel"/>
    <w:tmpl w:val="26DC0B5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65F19EF"/>
    <w:multiLevelType w:val="hybridMultilevel"/>
    <w:tmpl w:val="EF845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DE4791"/>
    <w:multiLevelType w:val="hybridMultilevel"/>
    <w:tmpl w:val="7ADE0E6C"/>
    <w:lvl w:ilvl="0" w:tplc="16B44D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4E95B00"/>
    <w:multiLevelType w:val="hybridMultilevel"/>
    <w:tmpl w:val="5C44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287E02"/>
    <w:multiLevelType w:val="hybridMultilevel"/>
    <w:tmpl w:val="FFD29F50"/>
    <w:lvl w:ilvl="0" w:tplc="5CEA076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E07E8E"/>
    <w:multiLevelType w:val="hybridMultilevel"/>
    <w:tmpl w:val="FF04CF04"/>
    <w:lvl w:ilvl="0" w:tplc="DDC8FE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0"/>
  </w:num>
  <w:num w:numId="5">
    <w:abstractNumId w:val="13"/>
  </w:num>
  <w:num w:numId="6">
    <w:abstractNumId w:val="4"/>
  </w:num>
  <w:num w:numId="7">
    <w:abstractNumId w:val="14"/>
  </w:num>
  <w:num w:numId="8">
    <w:abstractNumId w:val="2"/>
  </w:num>
  <w:num w:numId="9">
    <w:abstractNumId w:val="9"/>
  </w:num>
  <w:num w:numId="10">
    <w:abstractNumId w:val="5"/>
  </w:num>
  <w:num w:numId="11">
    <w:abstractNumId w:val="1"/>
  </w:num>
  <w:num w:numId="12">
    <w:abstractNumId w:val="12"/>
  </w:num>
  <w:num w:numId="13">
    <w:abstractNumId w:val="10"/>
  </w:num>
  <w:num w:numId="14">
    <w:abstractNumId w:val="3"/>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83"/>
    <w:rsid w:val="00003FCA"/>
    <w:rsid w:val="00005E71"/>
    <w:rsid w:val="00033A92"/>
    <w:rsid w:val="00036603"/>
    <w:rsid w:val="000F1343"/>
    <w:rsid w:val="001410E6"/>
    <w:rsid w:val="00141EB0"/>
    <w:rsid w:val="001B19E0"/>
    <w:rsid w:val="001B68EC"/>
    <w:rsid w:val="001B7B33"/>
    <w:rsid w:val="00235369"/>
    <w:rsid w:val="00246234"/>
    <w:rsid w:val="00257918"/>
    <w:rsid w:val="002614AE"/>
    <w:rsid w:val="00261AAE"/>
    <w:rsid w:val="00285B58"/>
    <w:rsid w:val="002B0858"/>
    <w:rsid w:val="002E4928"/>
    <w:rsid w:val="002F2747"/>
    <w:rsid w:val="00312289"/>
    <w:rsid w:val="0035249C"/>
    <w:rsid w:val="00357A06"/>
    <w:rsid w:val="00425DA1"/>
    <w:rsid w:val="004473DF"/>
    <w:rsid w:val="00450F16"/>
    <w:rsid w:val="00480914"/>
    <w:rsid w:val="00480BFA"/>
    <w:rsid w:val="004B599A"/>
    <w:rsid w:val="004C5B9D"/>
    <w:rsid w:val="004D15E9"/>
    <w:rsid w:val="004E49DB"/>
    <w:rsid w:val="00504390"/>
    <w:rsid w:val="00522BF8"/>
    <w:rsid w:val="0053557E"/>
    <w:rsid w:val="005422D2"/>
    <w:rsid w:val="00554A1C"/>
    <w:rsid w:val="00562696"/>
    <w:rsid w:val="005C2F21"/>
    <w:rsid w:val="005D18B1"/>
    <w:rsid w:val="00633EF3"/>
    <w:rsid w:val="0064591D"/>
    <w:rsid w:val="0065667C"/>
    <w:rsid w:val="0066057A"/>
    <w:rsid w:val="00684757"/>
    <w:rsid w:val="006973B9"/>
    <w:rsid w:val="006A3C2A"/>
    <w:rsid w:val="006D6CEE"/>
    <w:rsid w:val="006F4220"/>
    <w:rsid w:val="0070061B"/>
    <w:rsid w:val="00712F83"/>
    <w:rsid w:val="00736D38"/>
    <w:rsid w:val="00744F85"/>
    <w:rsid w:val="00797C29"/>
    <w:rsid w:val="007A6291"/>
    <w:rsid w:val="007F34F4"/>
    <w:rsid w:val="00812174"/>
    <w:rsid w:val="008268B7"/>
    <w:rsid w:val="00830BC1"/>
    <w:rsid w:val="00851100"/>
    <w:rsid w:val="00857FDA"/>
    <w:rsid w:val="008801A1"/>
    <w:rsid w:val="00890DA3"/>
    <w:rsid w:val="00897034"/>
    <w:rsid w:val="008B583E"/>
    <w:rsid w:val="008C12DB"/>
    <w:rsid w:val="008D638F"/>
    <w:rsid w:val="008F6666"/>
    <w:rsid w:val="00930DC0"/>
    <w:rsid w:val="00936414"/>
    <w:rsid w:val="00937B2A"/>
    <w:rsid w:val="00954514"/>
    <w:rsid w:val="00962F25"/>
    <w:rsid w:val="00975B00"/>
    <w:rsid w:val="0098411A"/>
    <w:rsid w:val="00995B5B"/>
    <w:rsid w:val="00A327FC"/>
    <w:rsid w:val="00A35021"/>
    <w:rsid w:val="00A411F0"/>
    <w:rsid w:val="00A41CC8"/>
    <w:rsid w:val="00A5185A"/>
    <w:rsid w:val="00A574C5"/>
    <w:rsid w:val="00A748B5"/>
    <w:rsid w:val="00A846CE"/>
    <w:rsid w:val="00AA2212"/>
    <w:rsid w:val="00AD30C7"/>
    <w:rsid w:val="00B65B0E"/>
    <w:rsid w:val="00B675A6"/>
    <w:rsid w:val="00B71DED"/>
    <w:rsid w:val="00B949DF"/>
    <w:rsid w:val="00BA69F2"/>
    <w:rsid w:val="00BC43FE"/>
    <w:rsid w:val="00BC5574"/>
    <w:rsid w:val="00BF74A6"/>
    <w:rsid w:val="00C02A10"/>
    <w:rsid w:val="00C10347"/>
    <w:rsid w:val="00C6119C"/>
    <w:rsid w:val="00C612F9"/>
    <w:rsid w:val="00C71784"/>
    <w:rsid w:val="00CD1793"/>
    <w:rsid w:val="00CE3883"/>
    <w:rsid w:val="00D147BA"/>
    <w:rsid w:val="00D83BC6"/>
    <w:rsid w:val="00DB6E2B"/>
    <w:rsid w:val="00DC5149"/>
    <w:rsid w:val="00DD733C"/>
    <w:rsid w:val="00E01738"/>
    <w:rsid w:val="00E02126"/>
    <w:rsid w:val="00E2176A"/>
    <w:rsid w:val="00E22626"/>
    <w:rsid w:val="00E45FAB"/>
    <w:rsid w:val="00E51F65"/>
    <w:rsid w:val="00E623EE"/>
    <w:rsid w:val="00E8645D"/>
    <w:rsid w:val="00E87AE8"/>
    <w:rsid w:val="00E87CEF"/>
    <w:rsid w:val="00E92DA5"/>
    <w:rsid w:val="00EB0C4F"/>
    <w:rsid w:val="00ED3BA0"/>
    <w:rsid w:val="00F04810"/>
    <w:rsid w:val="00F62345"/>
    <w:rsid w:val="00F65294"/>
    <w:rsid w:val="00F8241D"/>
    <w:rsid w:val="00F826E4"/>
    <w:rsid w:val="00FC20E5"/>
    <w:rsid w:val="00FD4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9C4C3"/>
  <w15:docId w15:val="{F81F95BF-1C7B-4C28-B50F-4B8369AF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883"/>
  </w:style>
  <w:style w:type="paragraph" w:styleId="Footer">
    <w:name w:val="footer"/>
    <w:basedOn w:val="Normal"/>
    <w:link w:val="FooterChar"/>
    <w:uiPriority w:val="99"/>
    <w:unhideWhenUsed/>
    <w:rsid w:val="00CE3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883"/>
  </w:style>
  <w:style w:type="paragraph" w:styleId="ListParagraph">
    <w:name w:val="List Paragraph"/>
    <w:basedOn w:val="Normal"/>
    <w:uiPriority w:val="34"/>
    <w:qFormat/>
    <w:rsid w:val="00CE3883"/>
    <w:pPr>
      <w:ind w:left="720"/>
      <w:contextualSpacing/>
    </w:pPr>
  </w:style>
  <w:style w:type="table" w:styleId="TableGrid">
    <w:name w:val="Table Grid"/>
    <w:basedOn w:val="TableNormal"/>
    <w:uiPriority w:val="39"/>
    <w:rsid w:val="00E92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74C5"/>
    <w:rPr>
      <w:sz w:val="16"/>
      <w:szCs w:val="16"/>
    </w:rPr>
  </w:style>
  <w:style w:type="paragraph" w:styleId="CommentText">
    <w:name w:val="annotation text"/>
    <w:basedOn w:val="Normal"/>
    <w:link w:val="CommentTextChar"/>
    <w:uiPriority w:val="99"/>
    <w:semiHidden/>
    <w:unhideWhenUsed/>
    <w:rsid w:val="00A574C5"/>
    <w:pPr>
      <w:spacing w:line="240" w:lineRule="auto"/>
    </w:pPr>
    <w:rPr>
      <w:sz w:val="20"/>
      <w:szCs w:val="20"/>
    </w:rPr>
  </w:style>
  <w:style w:type="character" w:customStyle="1" w:styleId="CommentTextChar">
    <w:name w:val="Comment Text Char"/>
    <w:basedOn w:val="DefaultParagraphFont"/>
    <w:link w:val="CommentText"/>
    <w:uiPriority w:val="99"/>
    <w:semiHidden/>
    <w:rsid w:val="00A574C5"/>
    <w:rPr>
      <w:sz w:val="20"/>
      <w:szCs w:val="20"/>
    </w:rPr>
  </w:style>
  <w:style w:type="paragraph" w:styleId="CommentSubject">
    <w:name w:val="annotation subject"/>
    <w:basedOn w:val="CommentText"/>
    <w:next w:val="CommentText"/>
    <w:link w:val="CommentSubjectChar"/>
    <w:uiPriority w:val="99"/>
    <w:semiHidden/>
    <w:unhideWhenUsed/>
    <w:rsid w:val="00A574C5"/>
    <w:rPr>
      <w:b/>
      <w:bCs/>
    </w:rPr>
  </w:style>
  <w:style w:type="character" w:customStyle="1" w:styleId="CommentSubjectChar">
    <w:name w:val="Comment Subject Char"/>
    <w:basedOn w:val="CommentTextChar"/>
    <w:link w:val="CommentSubject"/>
    <w:uiPriority w:val="99"/>
    <w:semiHidden/>
    <w:rsid w:val="00A574C5"/>
    <w:rPr>
      <w:b/>
      <w:bCs/>
      <w:sz w:val="20"/>
      <w:szCs w:val="20"/>
    </w:rPr>
  </w:style>
  <w:style w:type="paragraph" w:styleId="BalloonText">
    <w:name w:val="Balloon Text"/>
    <w:basedOn w:val="Normal"/>
    <w:link w:val="BalloonTextChar"/>
    <w:uiPriority w:val="99"/>
    <w:semiHidden/>
    <w:unhideWhenUsed/>
    <w:rsid w:val="00A57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4C5"/>
    <w:rPr>
      <w:rFonts w:ascii="Segoe UI" w:hAnsi="Segoe UI" w:cs="Segoe UI"/>
      <w:sz w:val="18"/>
      <w:szCs w:val="18"/>
    </w:rPr>
  </w:style>
  <w:style w:type="character" w:styleId="Hyperlink">
    <w:name w:val="Hyperlink"/>
    <w:basedOn w:val="DefaultParagraphFont"/>
    <w:uiPriority w:val="99"/>
    <w:semiHidden/>
    <w:unhideWhenUsed/>
    <w:rsid w:val="006847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4B9B2-9965-4DB4-88CE-CDF540EE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Mclaren Health Care Corporation</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Pittel, Katherine</dc:creator>
  <cp:lastModifiedBy>Boulier, Leslie H</cp:lastModifiedBy>
  <cp:revision>1</cp:revision>
  <cp:lastPrinted>2017-03-21T13:08:00Z</cp:lastPrinted>
  <dcterms:created xsi:type="dcterms:W3CDTF">2019-01-21T20:34:00Z</dcterms:created>
  <dcterms:modified xsi:type="dcterms:W3CDTF">2019-01-21T20:34:00Z</dcterms:modified>
</cp:coreProperties>
</file>